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equifax-efx--q2-2026-earnings-preview"/>
    <w:p>
      <w:pPr>
        <w:pStyle w:val="Heading1"/>
      </w:pPr>
      <w:r>
        <w:t xml:space="preserve">Equifax (EFX) — Q2 2026 Earnings Preview</w:t>
      </w:r>
    </w:p>
    <w:p>
      <w:pPr>
        <w:pStyle w:val="BlockText"/>
      </w:pPr>
      <w:r>
        <w:rPr>
          <w:b/>
          <w:bCs/>
        </w:rPr>
        <w:t xml:space="preserve">Timing clarification:</w:t>
      </w:r>
      <w:r>
        <w:t xml:space="preserve"> </w:t>
      </w:r>
      <w:r>
        <w:t xml:space="preserve">Equifax’s official schedule says results will be released</w:t>
      </w:r>
      <w:r>
        <w:t xml:space="preserve"> </w:t>
      </w:r>
      <w:r>
        <w:rPr>
          <w:b/>
          <w:bCs/>
        </w:rPr>
        <w:t xml:space="preserve">Tuesday, July 21, 2026 at 6:30 a.m. ET</w:t>
      </w:r>
      <w:r>
        <w:t xml:space="preserve">, followed by the call at</w:t>
      </w:r>
      <w:r>
        <w:t xml:space="preserve"> </w:t>
      </w:r>
      <w:r>
        <w:rPr>
          <w:b/>
          <w:bCs/>
        </w:rPr>
        <w:t xml:space="preserve">8:30 a.m. ET</w:t>
      </w:r>
      <w:r>
        <w:t xml:space="preserve">.</w:t>
      </w:r>
      <w:r>
        <w:t xml:space="preserve"> </w:t>
      </w:r>
      <w:r>
        <w:rPr>
          <w:b/>
          <w:bCs/>
        </w:rPr>
        <w:t xml:space="preserve">July 22 is when the replay becomes available</w:t>
      </w:r>
      <w:r>
        <w:t xml:space="preserve">, not the report date. (</w:t>
      </w:r>
      <w:hyperlink r:id="rId9">
        <w:r>
          <w:rPr>
            <w:rStyle w:val="Hyperlink"/>
          </w:rPr>
          <w:t xml:space="preserve">investor.equifax.com</w:t>
        </w:r>
      </w:hyperlink>
      <w:r>
        <w:t xml:space="preserve">)</w:t>
      </w:r>
    </w:p>
    <w:bookmarkStart w:id="11" w:name="investment-setup"/>
    <w:p>
      <w:pPr>
        <w:pStyle w:val="Heading2"/>
      </w:pPr>
      <w:r>
        <w:t xml:space="preserve">Investment setup</w:t>
      </w:r>
    </w:p>
    <w:p>
      <w:pPr>
        <w:pStyle w:val="FirstParagraph"/>
      </w:pPr>
      <w:r>
        <w:t xml:space="preserve">Equifax enters Q2 with expectations centered almost exactly on management’s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Management’s Q2 guidance</w:t>
            </w:r>
          </w:p>
        </w:tc>
        <w:tc>
          <w:tcPr/>
          <w:p>
            <w:pPr>
              <w:pStyle w:val="Compact"/>
              <w:jc w:val="right"/>
            </w:pPr>
            <w:r>
              <w:t xml:space="preserve">Street consensus</w:t>
            </w:r>
          </w:p>
        </w:tc>
        <w:tc>
          <w:tcPr/>
          <w:p>
            <w:pPr>
              <w:pStyle w:val="Compact"/>
              <w:jc w:val="right"/>
            </w:pPr>
            <w:r>
              <w:t xml:space="preserve">Q2 2025</w:t>
            </w:r>
          </w:p>
        </w:tc>
      </w:tr>
      <w:tr>
        <w:tc>
          <w:tcPr/>
          <w:p>
            <w:pPr>
              <w:pStyle w:val="Compact"/>
            </w:pPr>
            <w:r>
              <w:t xml:space="preserve">Revenue</w:t>
            </w:r>
          </w:p>
        </w:tc>
        <w:tc>
          <w:tcPr/>
          <w:p>
            <w:pPr>
              <w:pStyle w:val="Compact"/>
              <w:jc w:val="right"/>
            </w:pPr>
            <m:oMath>
              <m:r>
                <m:t>1.680</m:t>
              </m:r>
              <m:r>
                <m:t>B</m:t>
              </m:r>
              <m:r>
                <m:rPr>
                  <m:sty m:val="p"/>
                </m:rPr>
                <m:t>–</m:t>
              </m:r>
            </m:oMath>
            <w:r>
              <w:t xml:space="preserve">1.710B</w:t>
            </w:r>
          </w:p>
        </w:tc>
        <w:tc>
          <w:tcPr/>
          <w:p>
            <w:pPr>
              <w:pStyle w:val="Compact"/>
              <w:jc w:val="right"/>
            </w:pPr>
            <w:r>
              <w:t xml:space="preserve">~$1.70B</w:t>
            </w:r>
          </w:p>
        </w:tc>
        <w:tc>
          <w:tcPr/>
          <w:p>
            <w:pPr>
              <w:pStyle w:val="Compact"/>
              <w:jc w:val="right"/>
            </w:pPr>
            <w:r>
              <w:t xml:space="preserve">$1.537B</w:t>
            </w:r>
          </w:p>
        </w:tc>
      </w:tr>
      <w:tr>
        <w:tc>
          <w:tcPr/>
          <w:p>
            <w:pPr>
              <w:pStyle w:val="Compact"/>
            </w:pPr>
            <w:r>
              <w:t xml:space="preserve">Adjusted EPS</w:t>
            </w:r>
          </w:p>
        </w:tc>
        <w:tc>
          <w:tcPr/>
          <w:p>
            <w:pPr>
              <w:pStyle w:val="Compact"/>
              <w:jc w:val="right"/>
            </w:pPr>
            <m:oMath>
              <m:r>
                <m:t>2.15</m:t>
              </m:r>
              <m:r>
                <m:rPr>
                  <m:sty m:val="p"/>
                </m:rPr>
                <m:t>–</m:t>
              </m:r>
            </m:oMath>
            <w:r>
              <w:t xml:space="preserve">2.25</w:t>
            </w:r>
          </w:p>
        </w:tc>
        <w:tc>
          <w:tcPr/>
          <w:p>
            <w:pPr>
              <w:pStyle w:val="Compact"/>
              <w:jc w:val="right"/>
            </w:pPr>
            <w:r>
              <w:t xml:space="preserve">$2.21</w:t>
            </w:r>
          </w:p>
        </w:tc>
        <w:tc>
          <w:tcPr/>
          <w:p>
            <w:pPr>
              <w:pStyle w:val="Compact"/>
              <w:jc w:val="right"/>
            </w:pPr>
            <w:r>
              <w:t xml:space="preserve">$2.00</w:t>
            </w:r>
          </w:p>
        </w:tc>
      </w:tr>
      <w:tr>
        <w:tc>
          <w:tcPr/>
          <w:p>
            <w:pPr>
              <w:pStyle w:val="Compact"/>
            </w:pPr>
            <w:r>
              <w:t xml:space="preserve">Adjusted EBITDA</w:t>
            </w:r>
          </w:p>
        </w:tc>
        <w:tc>
          <w:tcPr/>
          <w:p>
            <w:pPr>
              <w:pStyle w:val="Compact"/>
              <w:jc w:val="right"/>
            </w:pPr>
            <m:oMath>
              <m:r>
                <m:t>537</m:t>
              </m:r>
              <m:r>
                <m:t>M</m:t>
              </m:r>
              <m:r>
                <m:rPr>
                  <m:sty m:val="p"/>
                </m:rPr>
                <m:t>–</m:t>
              </m:r>
            </m:oMath>
            <w:r>
              <w:t xml:space="preserve">554M</w:t>
            </w:r>
          </w:p>
        </w:tc>
        <w:tc>
          <w:tcPr/>
          <w:p>
            <w:pPr>
              <w:pStyle w:val="Compact"/>
              <w:jc w:val="right"/>
            </w:pPr>
            <w:r>
              <w:t xml:space="preserve">—</w:t>
            </w:r>
          </w:p>
        </w:tc>
        <w:tc>
          <w:tcPr/>
          <w:p>
            <w:pPr>
              <w:pStyle w:val="Compact"/>
              <w:jc w:val="right"/>
            </w:pPr>
            <w:r>
              <w:t xml:space="preserve">$499M</w:t>
            </w:r>
          </w:p>
        </w:tc>
      </w:tr>
      <w:tr>
        <w:tc>
          <w:tcPr/>
          <w:p>
            <w:pPr>
              <w:pStyle w:val="Compact"/>
            </w:pPr>
            <w:r>
              <w:t xml:space="preserve">Adjusted EBITDA margin</w:t>
            </w:r>
          </w:p>
        </w:tc>
        <w:tc>
          <w:tcPr/>
          <w:p>
            <w:pPr>
              <w:pStyle w:val="Compact"/>
              <w:jc w:val="right"/>
            </w:pPr>
            <w:r>
              <w:t xml:space="preserve">~32.2% midpoint</w:t>
            </w:r>
          </w:p>
        </w:tc>
        <w:tc>
          <w:tcPr/>
          <w:p>
            <w:pPr>
              <w:pStyle w:val="Compact"/>
              <w:jc w:val="right"/>
            </w:pPr>
            <w:r>
              <w:t xml:space="preserve">—</w:t>
            </w:r>
          </w:p>
        </w:tc>
        <w:tc>
          <w:tcPr/>
          <w:p>
            <w:pPr>
              <w:pStyle w:val="Compact"/>
              <w:jc w:val="right"/>
            </w:pPr>
            <w:r>
              <w:t xml:space="preserve">32.5%</w:t>
            </w:r>
          </w:p>
        </w:tc>
      </w:tr>
      <w:tr>
        <w:tc>
          <w:tcPr/>
          <w:p>
            <w:pPr>
              <w:pStyle w:val="Compact"/>
            </w:pPr>
            <w:r>
              <w:t xml:space="preserve">Margin excluding FICO royalties</w:t>
            </w:r>
          </w:p>
        </w:tc>
        <w:tc>
          <w:tcPr/>
          <w:p>
            <w:pPr>
              <w:pStyle w:val="Compact"/>
              <w:jc w:val="right"/>
            </w:pPr>
            <w:r>
              <w:t xml:space="preserve">34.3%–34.7%</w:t>
            </w:r>
          </w:p>
        </w:tc>
        <w:tc>
          <w:tcPr/>
          <w:p>
            <w:pPr>
              <w:pStyle w:val="Compact"/>
              <w:jc w:val="right"/>
            </w:pPr>
            <w:r>
              <w:t xml:space="preserve">—</w:t>
            </w:r>
          </w:p>
        </w:tc>
        <w:tc>
          <w:tcPr/>
          <w:p>
            <w:pPr>
              <w:pStyle w:val="Compact"/>
              <w:jc w:val="right"/>
            </w:pPr>
            <w:r>
              <w:t xml:space="preserve">~33.6% comparable basis</w:t>
            </w:r>
          </w:p>
        </w:tc>
      </w:tr>
    </w:tbl>
    <w:p>
      <w:pPr>
        <w:pStyle w:val="BodyText"/>
      </w:pPr>
      <w:r>
        <w:t xml:space="preserve">Consensus implies approximately</w:t>
      </w:r>
      <w:r>
        <w:t xml:space="preserve"> </w:t>
      </w:r>
      <w:r>
        <w:rPr>
          <w:b/>
          <w:bCs/>
        </w:rPr>
        <w:t xml:space="preserve">10% year-over-year growth in both revenue and adjusted EPS</w:t>
      </w:r>
      <w:r>
        <w:t xml:space="preserve">. Because the Street is sitting near the midpoint of guidance, a modest headline beat may not be enough. The stock’s response should depend more on:</w:t>
      </w:r>
    </w:p>
    <w:p>
      <w:pPr>
        <w:pStyle w:val="Compact"/>
        <w:numPr>
          <w:ilvl w:val="0"/>
          <w:numId w:val="1001"/>
        </w:numPr>
      </w:pPr>
      <w:r>
        <w:rPr>
          <w:b/>
          <w:bCs/>
        </w:rPr>
        <w:t xml:space="preserve">Mortgage growth excluding FICO royalties</w:t>
      </w:r>
    </w:p>
    <w:p>
      <w:pPr>
        <w:pStyle w:val="Compact"/>
        <w:numPr>
          <w:ilvl w:val="0"/>
          <w:numId w:val="1001"/>
        </w:numPr>
      </w:pPr>
      <w:r>
        <w:rPr>
          <w:b/>
          <w:bCs/>
        </w:rPr>
        <w:t xml:space="preserve">Early VantageScore 4.0 adoption</w:t>
      </w:r>
    </w:p>
    <w:p>
      <w:pPr>
        <w:pStyle w:val="Compact"/>
        <w:numPr>
          <w:ilvl w:val="0"/>
          <w:numId w:val="1001"/>
        </w:numPr>
      </w:pPr>
      <w:r>
        <w:rPr>
          <w:b/>
          <w:bCs/>
        </w:rPr>
        <w:t xml:space="preserve">Workforce Solutions’ organic performance</w:t>
      </w:r>
    </w:p>
    <w:p>
      <w:pPr>
        <w:pStyle w:val="Compact"/>
        <w:numPr>
          <w:ilvl w:val="0"/>
          <w:numId w:val="1001"/>
        </w:numPr>
      </w:pPr>
      <w:r>
        <w:rPr>
          <w:b/>
          <w:bCs/>
        </w:rPr>
        <w:t xml:space="preserve">Full-year guidance</w:t>
      </w:r>
    </w:p>
    <w:p>
      <w:pPr>
        <w:pStyle w:val="Compact"/>
        <w:numPr>
          <w:ilvl w:val="0"/>
          <w:numId w:val="1001"/>
        </w:numPr>
      </w:pPr>
      <w:r>
        <w:rPr>
          <w:b/>
          <w:bCs/>
        </w:rPr>
        <w:t xml:space="preserve">Margin conversion and capital allocation</w:t>
      </w:r>
    </w:p>
    <w:p>
      <w:pPr>
        <w:pStyle w:val="FirstParagraph"/>
      </w:pPr>
      <w:r>
        <w:t xml:space="preserve">Management’s existing full-year outlook is revenue of</w:t>
      </w:r>
      <w:r>
        <w:t xml:space="preserve"> </w:t>
      </w:r>
      <m:oMath>
        <m:r>
          <m:t>6.685</m:t>
        </m:r>
        <m:r>
          <m:t>B</m:t>
        </m:r>
        <m:r>
          <m:rPr>
            <m:sty m:val="p"/>
          </m:rPr>
          <m:t>–</m:t>
        </m:r>
      </m:oMath>
      <w:r>
        <w:rPr>
          <w:b/>
          <w:bCs/>
        </w:rPr>
        <w:t xml:space="preserve">6.805B</w:t>
      </w:r>
      <w:r>
        <w:t xml:space="preserve">, adjusted EPS of</w:t>
      </w:r>
      <w:r>
        <w:t xml:space="preserve"> </w:t>
      </w:r>
      <m:oMath>
        <m:r>
          <m:t>8.34</m:t>
        </m:r>
        <m:r>
          <m:rPr>
            <m:sty m:val="p"/>
          </m:rPr>
          <m:t>–</m:t>
        </m:r>
      </m:oMath>
      <w:r>
        <w:rPr>
          <w:b/>
          <w:bCs/>
        </w:rPr>
        <w:t xml:space="preserve">8.74</w:t>
      </w:r>
      <w:r>
        <w:t xml:space="preserve">, and more than</w:t>
      </w:r>
      <w:r>
        <w:t xml:space="preserve"> </w:t>
      </w:r>
      <w:r>
        <w:rPr>
          <w:b/>
          <w:bCs/>
        </w:rPr>
        <w:t xml:space="preserve">$1B of free cash flow</w:t>
      </w:r>
      <w:r>
        <w:t xml:space="preserve">. (</w:t>
      </w:r>
      <w:hyperlink r:id="rId10">
        <w:r>
          <w:rPr>
            <w:rStyle w:val="Hyperlink"/>
          </w:rPr>
          <w:t xml:space="preserve">sec.gov</w:t>
        </w:r>
      </w:hyperlink>
      <w:r>
        <w:t xml:space="preserve">)</w:t>
      </w:r>
    </w:p>
    <w:p>
      <w:r>
        <w:pict>
          <v:rect style="width:0;height:1.5pt" o:hralign="center" o:hrstd="t" o:hr="t"/>
        </w:pict>
      </w:r>
    </w:p>
    <w:bookmarkEnd w:id="11"/>
    <w:bookmarkStart w:id="13" w:name="X9f154a637e86381567f06a2666bc2162c87f4ee"/>
    <w:p>
      <w:pPr>
        <w:pStyle w:val="Heading2"/>
      </w:pPr>
      <w:r>
        <w:t xml:space="preserve">1. Mortgage: separate economic growth from FICO pass-through revenue</w:t>
      </w:r>
    </w:p>
    <w:p>
      <w:pPr>
        <w:pStyle w:val="FirstParagraph"/>
      </w:pPr>
      <w:r>
        <w:t xml:space="preserve">Mortgage remains the biggest near-term swing factor.</w:t>
      </w:r>
    </w:p>
    <w:p>
      <w:pPr>
        <w:pStyle w:val="BodyText"/>
      </w:pPr>
      <w:r>
        <w:t xml:space="preserve">In Q1, total U.S. mortgage revenue rose</w:t>
      </w:r>
      <w:r>
        <w:t xml:space="preserve"> </w:t>
      </w:r>
      <w:r>
        <w:rPr>
          <w:b/>
          <w:bCs/>
        </w:rPr>
        <w:t xml:space="preserve">38%</w:t>
      </w:r>
      <w:r>
        <w:t xml:space="preserve">, including</w:t>
      </w:r>
      <w:r>
        <w:t xml:space="preserve"> </w:t>
      </w:r>
      <w:r>
        <w:rPr>
          <w:b/>
          <w:bCs/>
        </w:rPr>
        <w:t xml:space="preserve">60% growth in USIS mortgage</w:t>
      </w:r>
      <w:r>
        <w:t xml:space="preserve">, but part of that reflected higher FICO score royalty revenue that Equifax passes through at essentially no margin. Management guided Q2 U.S. mortgage revenue to rise</w:t>
      </w:r>
      <w:r>
        <w:t xml:space="preserve"> </w:t>
      </w:r>
      <w:r>
        <w:rPr>
          <w:b/>
          <w:bCs/>
        </w:rPr>
        <w:t xml:space="preserve">more than 20%</w:t>
      </w:r>
      <w:r>
        <w:t xml:space="preserve">, but only</w:t>
      </w:r>
      <w:r>
        <w:t xml:space="preserve"> </w:t>
      </w:r>
      <w:r>
        <w:rPr>
          <w:b/>
          <w:bCs/>
        </w:rPr>
        <w:t xml:space="preserve">high single digits excluding FICO royalties</w:t>
      </w:r>
      <w:r>
        <w:t xml:space="preserve">. (</w:t>
      </w:r>
      <w:hyperlink r:id="rId10">
        <w:r>
          <w:rPr>
            <w:rStyle w:val="Hyperlink"/>
          </w:rPr>
          <w:t xml:space="preserve">sec.gov</w:t>
        </w:r>
      </w:hyperlink>
      <w:r>
        <w:t xml:space="preserve">)</w:t>
      </w:r>
    </w:p>
    <w:p>
      <w:pPr>
        <w:pStyle w:val="BodyText"/>
      </w:pPr>
      <w:r>
        <w:t xml:space="preserve">That distinction matters:</w:t>
      </w:r>
    </w:p>
    <w:p>
      <w:pPr>
        <w:pStyle w:val="Compact"/>
        <w:numPr>
          <w:ilvl w:val="0"/>
          <w:numId w:val="1002"/>
        </w:numPr>
      </w:pPr>
      <w:r>
        <w:rPr>
          <w:b/>
          <w:bCs/>
        </w:rPr>
        <w:t xml:space="preserve">Reported mortgage growth</w:t>
      </w:r>
      <w:r>
        <w:t xml:space="preserve"> </w:t>
      </w:r>
      <w:r>
        <w:t xml:space="preserve">can make revenue look unusually strong.</w:t>
      </w:r>
    </w:p>
    <w:p>
      <w:pPr>
        <w:pStyle w:val="Compact"/>
        <w:numPr>
          <w:ilvl w:val="0"/>
          <w:numId w:val="1002"/>
        </w:numPr>
      </w:pPr>
      <w:r>
        <w:rPr>
          <w:b/>
          <w:bCs/>
        </w:rPr>
        <w:t xml:space="preserve">Ex-FICO growth</w:t>
      </w:r>
      <w:r>
        <w:t xml:space="preserve"> </w:t>
      </w:r>
      <w:r>
        <w:t xml:space="preserve">better reflects transaction volumes, pricing, new products and market-share gains.</w:t>
      </w:r>
    </w:p>
    <w:p>
      <w:pPr>
        <w:pStyle w:val="Compact"/>
        <w:numPr>
          <w:ilvl w:val="0"/>
          <w:numId w:val="1002"/>
        </w:numPr>
      </w:pPr>
      <w:r>
        <w:rPr>
          <w:b/>
          <w:bCs/>
        </w:rPr>
        <w:t xml:space="preserve">Ex-FICO margin</w:t>
      </w:r>
      <w:r>
        <w:t xml:space="preserve"> </w:t>
      </w:r>
      <w:r>
        <w:t xml:space="preserve">is a better measure of operational performance than the reported company margin.</w:t>
      </w:r>
    </w:p>
    <w:p>
      <w:pPr>
        <w:pStyle w:val="FirstParagraph"/>
      </w:pPr>
      <w:r>
        <w:t xml:space="preserve">The backdrop was mixed during Q2. The average 30-year mortgage rate fell to roughly 6.2% in late April but returned to about 6.5% by June. Rates remained high enough to restrain refinancing, although purchase and refinance applications showed intermittent improvement. (</w:t>
      </w:r>
      <w:hyperlink r:id="rId12">
        <w:r>
          <w:rPr>
            <w:rStyle w:val="Hyperlink"/>
          </w:rPr>
          <w:t xml:space="preserve">freddiemac.com</w:t>
        </w:r>
      </w:hyperlink>
      <w:r>
        <w:t xml:space="preserve">)</w:t>
      </w:r>
    </w:p>
    <w:p>
      <w:pPr>
        <w:pStyle w:val="BodyText"/>
      </w:pPr>
      <w:r>
        <w:rPr>
          <w:b/>
          <w:bCs/>
        </w:rPr>
        <w:t xml:space="preserve">What would be encouraging</w:t>
      </w:r>
    </w:p>
    <w:p>
      <w:pPr>
        <w:pStyle w:val="Compact"/>
        <w:numPr>
          <w:ilvl w:val="0"/>
          <w:numId w:val="1003"/>
        </w:numPr>
      </w:pPr>
      <w:r>
        <w:t xml:space="preserve">Ex-FICO mortgage growth at or above high single digits</w:t>
      </w:r>
    </w:p>
    <w:p>
      <w:pPr>
        <w:pStyle w:val="Compact"/>
        <w:numPr>
          <w:ilvl w:val="0"/>
          <w:numId w:val="1003"/>
        </w:numPr>
      </w:pPr>
      <w:r>
        <w:t xml:space="preserve">Continued mortgage share gains from the free Work Number Indicator</w:t>
      </w:r>
    </w:p>
    <w:p>
      <w:pPr>
        <w:pStyle w:val="Compact"/>
        <w:numPr>
          <w:ilvl w:val="0"/>
          <w:numId w:val="1003"/>
        </w:numPr>
      </w:pPr>
      <w:r>
        <w:t xml:space="preserve">Evidence that soft-pull and prequalification products are expanding Equifax’s addressable activity</w:t>
      </w:r>
    </w:p>
    <w:p>
      <w:pPr>
        <w:pStyle w:val="Compact"/>
        <w:numPr>
          <w:ilvl w:val="0"/>
          <w:numId w:val="1003"/>
        </w:numPr>
      </w:pPr>
      <w:r>
        <w:t xml:space="preserve">No reduction to the full-year assumption of more than 20% total mortgage revenue growth</w:t>
      </w:r>
    </w:p>
    <w:p>
      <w:pPr>
        <w:pStyle w:val="FirstParagraph"/>
      </w:pPr>
      <w:r>
        <w:rPr>
          <w:b/>
          <w:bCs/>
        </w:rPr>
        <w:t xml:space="preserve">Main risk</w:t>
      </w:r>
    </w:p>
    <w:p>
      <w:pPr>
        <w:pStyle w:val="BodyText"/>
      </w:pPr>
      <w:r>
        <w:t xml:space="preserve">Management had already warned that the strong Q1 mortgage environment weakened late in the quarter. If activity remained soft through Q2 and into July, full-year mortgage assumptions could be reduced despite the large Q1 beat.</w:t>
      </w:r>
    </w:p>
    <w:p>
      <w:r>
        <w:pict>
          <v:rect style="width:0;height:1.5pt" o:hralign="center" o:hrstd="t" o:hr="t"/>
        </w:pict>
      </w:r>
    </w:p>
    <w:bookmarkEnd w:id="13"/>
    <w:bookmarkStart w:id="16" w:name="X1ef9285efa59cc915465d0dfe58ad99da2b634f"/>
    <w:p>
      <w:pPr>
        <w:pStyle w:val="Heading2"/>
      </w:pPr>
      <w:r>
        <w:t xml:space="preserve">2. VantageScore has become the most important incremental catalyst</w:t>
      </w:r>
    </w:p>
    <w:p>
      <w:pPr>
        <w:pStyle w:val="FirstParagraph"/>
      </w:pPr>
      <w:r>
        <w:t xml:space="preserve">This is the first earnings report since Fannie Mae and Freddie Mac began limited rollouts of</w:t>
      </w:r>
      <w:r>
        <w:t xml:space="preserve"> </w:t>
      </w:r>
      <w:r>
        <w:rPr>
          <w:b/>
          <w:bCs/>
        </w:rPr>
        <w:t xml:space="preserve">VantageScore 4.0</w:t>
      </w:r>
      <w:r>
        <w:t xml:space="preserve"> </w:t>
      </w:r>
      <w:r>
        <w:t xml:space="preserve">on April 22.</w:t>
      </w:r>
    </w:p>
    <w:p>
      <w:pPr>
        <w:pStyle w:val="BodyText"/>
      </w:pPr>
      <w:r>
        <w:t xml:space="preserve">Approved lenders can now choose VantageScore 4.0 instead of Classic FICO on eligible loans, while lenders outside the limited rollout must continue using Classic FICO. The rollout therefore began during Q2 but was not yet broadly available. (</w:t>
      </w:r>
      <w:hyperlink r:id="rId14">
        <w:r>
          <w:rPr>
            <w:rStyle w:val="Hyperlink"/>
          </w:rPr>
          <w:t xml:space="preserve">fanniemae.com</w:t>
        </w:r>
      </w:hyperlink>
      <w:r>
        <w:t xml:space="preserve">)</w:t>
      </w:r>
    </w:p>
    <w:p>
      <w:pPr>
        <w:pStyle w:val="BodyText"/>
      </w:pPr>
      <w:r>
        <w:t xml:space="preserve">This matters disproportionately to Equifax’s margins:</w:t>
      </w:r>
    </w:p>
    <w:p>
      <w:pPr>
        <w:pStyle w:val="Compact"/>
        <w:numPr>
          <w:ilvl w:val="0"/>
          <w:numId w:val="1004"/>
        </w:numPr>
      </w:pPr>
      <w:r>
        <w:t xml:space="preserve">Equifax earns essentially</w:t>
      </w:r>
      <w:r>
        <w:t xml:space="preserve"> </w:t>
      </w:r>
      <w:r>
        <w:rPr>
          <w:b/>
          <w:bCs/>
        </w:rPr>
        <w:t xml:space="preserve">no margin</w:t>
      </w:r>
      <w:r>
        <w:t xml:space="preserve"> </w:t>
      </w:r>
      <w:r>
        <w:t xml:space="preserve">when passing through FICO scores.</w:t>
      </w:r>
    </w:p>
    <w:p>
      <w:pPr>
        <w:pStyle w:val="Compact"/>
        <w:numPr>
          <w:ilvl w:val="0"/>
          <w:numId w:val="1004"/>
        </w:numPr>
      </w:pPr>
      <w:r>
        <w:t xml:space="preserve">Equifax priced its mortgage VantageScore at</w:t>
      </w:r>
      <w:r>
        <w:t xml:space="preserve"> </w:t>
      </w:r>
      <w:r>
        <w:rPr>
          <w:b/>
          <w:bCs/>
        </w:rPr>
        <w:t xml:space="preserve">$1</w:t>
      </w:r>
      <w:r>
        <w:t xml:space="preserve">.</w:t>
      </w:r>
    </w:p>
    <w:p>
      <w:pPr>
        <w:pStyle w:val="Compact"/>
        <w:numPr>
          <w:ilvl w:val="0"/>
          <w:numId w:val="1004"/>
        </w:numPr>
      </w:pPr>
      <w:r>
        <w:t xml:space="preserve">Management previously estimated that full conversion at expected 2026 mortgage volumes would add approximately</w:t>
      </w:r>
      <w:r>
        <w:t xml:space="preserve"> </w:t>
      </w:r>
      <w:r>
        <w:rPr>
          <w:b/>
          <w:bCs/>
        </w:rPr>
        <w:t xml:space="preserve">$35 million of annual margin</w:t>
      </w:r>
      <w:r>
        <w:t xml:space="preserve">.</w:t>
      </w:r>
    </w:p>
    <w:p>
      <w:pPr>
        <w:pStyle w:val="Compact"/>
        <w:numPr>
          <w:ilvl w:val="0"/>
          <w:numId w:val="1004"/>
        </w:numPr>
      </w:pPr>
      <w:r>
        <w:t xml:space="preserve">Existing 2026 guidance assumed</w:t>
      </w:r>
      <w:r>
        <w:t xml:space="preserve"> </w:t>
      </w:r>
      <w:r>
        <w:rPr>
          <w:b/>
          <w:bCs/>
        </w:rPr>
        <w:t xml:space="preserve">no VantageScore conversion</w:t>
      </w:r>
      <w:r>
        <w:t xml:space="preserve">, so adoption represents potential upside rather than something embedded in the outlook. (</w:t>
      </w:r>
      <w:hyperlink r:id="rId15">
        <w:r>
          <w:rPr>
            <w:rStyle w:val="Hyperlink"/>
          </w:rPr>
          <w:t xml:space="preserve">investor.equifax.com</w:t>
        </w:r>
      </w:hyperlink>
      <w:r>
        <w:t xml:space="preserve">)</w:t>
      </w:r>
    </w:p>
    <w:p>
      <w:pPr>
        <w:pStyle w:val="FirstParagraph"/>
      </w:pPr>
      <w:r>
        <w:t xml:space="preserve">The Q2 financial contribution may still be modest because the rollout is limited. The more important disclosures will be:</w:t>
      </w:r>
    </w:p>
    <w:p>
      <w:pPr>
        <w:pStyle w:val="Compact"/>
        <w:numPr>
          <w:ilvl w:val="0"/>
          <w:numId w:val="1005"/>
        </w:numPr>
      </w:pPr>
      <w:r>
        <w:t xml:space="preserve">Number and size of lenders now using VantageScore in production</w:t>
      </w:r>
    </w:p>
    <w:p>
      <w:pPr>
        <w:pStyle w:val="Compact"/>
        <w:numPr>
          <w:ilvl w:val="0"/>
          <w:numId w:val="1005"/>
        </w:numPr>
      </w:pPr>
      <w:r>
        <w:t xml:space="preserve">Share of eligible mortgage transactions converted</w:t>
      </w:r>
    </w:p>
    <w:p>
      <w:pPr>
        <w:pStyle w:val="Compact"/>
        <w:numPr>
          <w:ilvl w:val="0"/>
          <w:numId w:val="1005"/>
        </w:numPr>
      </w:pPr>
      <w:r>
        <w:t xml:space="preserve">Expected timing for broader Fannie/Freddie availability</w:t>
      </w:r>
    </w:p>
    <w:p>
      <w:pPr>
        <w:pStyle w:val="Compact"/>
        <w:numPr>
          <w:ilvl w:val="0"/>
          <w:numId w:val="1005"/>
        </w:numPr>
      </w:pPr>
      <w:r>
        <w:t xml:space="preserve">Any 2026 revenue and EBITDA impact added to guidance</w:t>
      </w:r>
    </w:p>
    <w:p>
      <w:pPr>
        <w:pStyle w:val="Compact"/>
        <w:numPr>
          <w:ilvl w:val="0"/>
          <w:numId w:val="1005"/>
        </w:numPr>
      </w:pPr>
      <w:r>
        <w:t xml:space="preserve">Whether lower reported score revenue is being offset by higher profit</w:t>
      </w:r>
    </w:p>
    <w:p>
      <w:pPr>
        <w:pStyle w:val="FirstParagraph"/>
      </w:pPr>
      <w:r>
        <w:t xml:space="preserve">Investors should not interpret lower mortgage revenue caused by conversion as inherently negative. Replacing a roughly $10 zero-margin FICO pass-through with a lower-priced, high-margin VantageScore could reduce revenue while increasing EBITDA.</w:t>
      </w:r>
    </w:p>
    <w:p>
      <w:r>
        <w:pict>
          <v:rect style="width:0;height:1.5pt" o:hralign="center" o:hrstd="t" o:hr="t"/>
        </w:pict>
      </w:r>
    </w:p>
    <w:bookmarkEnd w:id="16"/>
    <w:bookmarkStart w:id="19" w:name="X82d50179bc7eb920e1b15aa17d6aa7c2ffc300d"/>
    <w:p>
      <w:pPr>
        <w:pStyle w:val="Heading2"/>
      </w:pPr>
      <w:r>
        <w:t xml:space="preserve">3. Workforce Solutions needs to show durable growth beyond mortgage</w:t>
      </w:r>
    </w:p>
    <w:p>
      <w:pPr>
        <w:pStyle w:val="FirstParagraph"/>
      </w:pPr>
      <w:r>
        <w:t xml:space="preserve">Workforce Solutions is Equifax’s highest-margin and strategically most important segment. In Q1:</w:t>
      </w:r>
    </w:p>
    <w:p>
      <w:pPr>
        <w:pStyle w:val="Compact"/>
        <w:numPr>
          <w:ilvl w:val="0"/>
          <w:numId w:val="1006"/>
        </w:numPr>
      </w:pPr>
      <w:r>
        <w:t xml:space="preserve">Revenue rose</w:t>
      </w:r>
      <w:r>
        <w:t xml:space="preserve"> </w:t>
      </w:r>
      <w:r>
        <w:rPr>
          <w:b/>
          <w:bCs/>
        </w:rPr>
        <w:t xml:space="preserve">10%</w:t>
      </w:r>
    </w:p>
    <w:p>
      <w:pPr>
        <w:pStyle w:val="Compact"/>
        <w:numPr>
          <w:ilvl w:val="0"/>
          <w:numId w:val="1006"/>
        </w:numPr>
      </w:pPr>
      <w:r>
        <w:t xml:space="preserve">Verification Services rose</w:t>
      </w:r>
      <w:r>
        <w:t xml:space="preserve"> </w:t>
      </w:r>
      <w:r>
        <w:rPr>
          <w:b/>
          <w:bCs/>
        </w:rPr>
        <w:t xml:space="preserve">14%</w:t>
      </w:r>
    </w:p>
    <w:p>
      <w:pPr>
        <w:pStyle w:val="Compact"/>
        <w:numPr>
          <w:ilvl w:val="0"/>
          <w:numId w:val="1006"/>
        </w:numPr>
      </w:pPr>
      <w:r>
        <w:t xml:space="preserve">Government and consumer lending were the strongest diversified verticals</w:t>
      </w:r>
    </w:p>
    <w:p>
      <w:pPr>
        <w:pStyle w:val="Compact"/>
        <w:numPr>
          <w:ilvl w:val="0"/>
          <w:numId w:val="1006"/>
        </w:numPr>
      </w:pPr>
      <w:r>
        <w:t xml:space="preserve">Adjusted EBITDA margin reached</w:t>
      </w:r>
      <w:r>
        <w:t xml:space="preserve"> </w:t>
      </w:r>
      <w:r>
        <w:rPr>
          <w:b/>
          <w:bCs/>
        </w:rPr>
        <w:t xml:space="preserve">52.3%</w:t>
      </w:r>
    </w:p>
    <w:p>
      <w:pPr>
        <w:pStyle w:val="Compact"/>
        <w:numPr>
          <w:ilvl w:val="0"/>
          <w:numId w:val="1006"/>
        </w:numPr>
      </w:pPr>
      <w:r>
        <w:t xml:space="preserve">The Work Number had 211 million active records, up 11%</w:t>
      </w:r>
    </w:p>
    <w:p>
      <w:pPr>
        <w:pStyle w:val="FirstParagraph"/>
      </w:pPr>
      <w:r>
        <w:t xml:space="preserve">The Q2 comparison is more difficult, particularly in government, because Equifax began benefiting from a large Social Security Administration contract during Q2 2025. Management consequently expected government revenue to be roughly flat sequentially.</w:t>
      </w:r>
    </w:p>
    <w:bookmarkStart w:id="18" w:name="key-items-to-watch"/>
    <w:p>
      <w:pPr>
        <w:pStyle w:val="Heading3"/>
      </w:pPr>
      <w:r>
        <w:t xml:space="preserve">Key items to watch</w:t>
      </w:r>
    </w:p>
    <w:p>
      <w:pPr>
        <w:pStyle w:val="FirstParagraph"/>
      </w:pPr>
      <w:r>
        <w:rPr>
          <w:b/>
          <w:bCs/>
        </w:rPr>
        <w:t xml:space="preserve">Government verification</w:t>
      </w:r>
    </w:p>
    <w:p>
      <w:pPr>
        <w:pStyle w:val="BodyText"/>
      </w:pPr>
      <w:r>
        <w:t xml:space="preserve">The long-term pipeline remains attractive due to state and federal efforts to improve income verification, benefit eligibility and improper-payment detection. But deal signings and system activations can be uneven. Investors should look for evidence that the pipeline—described in Q1 as more than twice the prior-year level—is converting into 2026 or 2027 revenue.</w:t>
      </w:r>
    </w:p>
    <w:p>
      <w:pPr>
        <w:pStyle w:val="BodyText"/>
      </w:pPr>
      <w:r>
        <w:rPr>
          <w:b/>
          <w:bCs/>
        </w:rPr>
        <w:t xml:space="preserve">Talent Solutions</w:t>
      </w:r>
    </w:p>
    <w:p>
      <w:pPr>
        <w:pStyle w:val="BodyText"/>
      </w:pPr>
      <w:r>
        <w:t xml:space="preserve">Equifax has been outperforming a weak white-collar hiring market through pricing, higher Work Number hit rates and additional background-screening products. The broader labor market did not materially improve late in Q2: June payroll growth slowed to 57,000, while May job openings and hiring were broadly unchanged. (</w:t>
      </w:r>
      <w:hyperlink r:id="rId17">
        <w:r>
          <w:rPr>
            <w:rStyle w:val="Hyperlink"/>
          </w:rPr>
          <w:t xml:space="preserve">bls.gov</w:t>
        </w:r>
      </w:hyperlink>
      <w:r>
        <w:t xml:space="preserve">)</w:t>
      </w:r>
    </w:p>
    <w:p>
      <w:pPr>
        <w:pStyle w:val="BodyText"/>
      </w:pPr>
      <w:r>
        <w:t xml:space="preserve">Continued high-single-digit Talent Solutions growth would therefore suggest company-specific share gains rather than help from the macro environment.</w:t>
      </w:r>
    </w:p>
    <w:p>
      <w:pPr>
        <w:pStyle w:val="BodyText"/>
      </w:pPr>
      <w:r>
        <w:rPr>
          <w:b/>
          <w:bCs/>
        </w:rPr>
        <w:t xml:space="preserve">Consumer lending</w:t>
      </w:r>
    </w:p>
    <w:p>
      <w:pPr>
        <w:pStyle w:val="BodyText"/>
      </w:pPr>
      <w:r>
        <w:t xml:space="preserve">Auto and personal-loan verification had posted seven consecutive quarters of double-digit growth entering Q2. Any meaningful deceleration would raise questions about consumer-credit demand; sustained double-digit growth would support Equifax’s claim that The Work Number is expanding beyond mortgage.</w:t>
      </w:r>
    </w:p>
    <w:p>
      <w:r>
        <w:pict>
          <v:rect style="width:0;height:1.5pt" o:hralign="center" o:hrstd="t" o:hr="t"/>
        </w:pict>
      </w:r>
    </w:p>
    <w:bookmarkEnd w:id="18"/>
    <w:bookmarkEnd w:id="19"/>
    <w:bookmarkStart w:id="20" w:name="X69cfbbaebb367e965f63dee6b167b28421ac86a"/>
    <w:p>
      <w:pPr>
        <w:pStyle w:val="Heading2"/>
      </w:pPr>
      <w:r>
        <w:t xml:space="preserve">4. USIS diversified growth is an important quality check</w:t>
      </w:r>
    </w:p>
    <w:p>
      <w:pPr>
        <w:pStyle w:val="FirstParagraph"/>
      </w:pPr>
      <w:r>
        <w:t xml:space="preserve">USIS Q1 revenue rose 21%, but only</w:t>
      </w:r>
      <w:r>
        <w:t xml:space="preserve"> </w:t>
      </w:r>
      <w:r>
        <w:rPr>
          <w:b/>
          <w:bCs/>
        </w:rPr>
        <w:t xml:space="preserve">8% excluding FICO</w:t>
      </w:r>
      <w:r>
        <w:t xml:space="preserve">, and diversified-market growth was a more modest</w:t>
      </w:r>
      <w:r>
        <w:t xml:space="preserve"> </w:t>
      </w:r>
      <w:r>
        <w:rPr>
          <w:b/>
          <w:bCs/>
        </w:rPr>
        <w:t xml:space="preserve">3%</w:t>
      </w:r>
      <w:r>
        <w:t xml:space="preserve">. Management expected diversified USIS growth to accelerate to the mid-single digits in Q2.</w:t>
      </w:r>
    </w:p>
    <w:p>
      <w:pPr>
        <w:pStyle w:val="BodyText"/>
      </w:pPr>
      <w:r>
        <w:t xml:space="preserve">The key driver should be deployment of</w:t>
      </w:r>
      <w:r>
        <w:t xml:space="preserve"> </w:t>
      </w:r>
      <w:r>
        <w:rPr>
          <w:b/>
          <w:bCs/>
        </w:rPr>
        <w:t xml:space="preserve">The Work Number Indicator</w:t>
      </w:r>
      <w:r>
        <w:t xml:space="preserve"> </w:t>
      </w:r>
      <w:r>
        <w:t xml:space="preserve">across mortgage, auto, card and personal loans. Equifax provides limited income and employment attributes alongside the credit file at no additional charge, seeking to win credit-file share and drive subsequent paid verification activity.</w:t>
      </w:r>
    </w:p>
    <w:p>
      <w:pPr>
        <w:pStyle w:val="BodyText"/>
      </w:pPr>
      <w:r>
        <w:t xml:space="preserve">Investors should look for:</w:t>
      </w:r>
    </w:p>
    <w:p>
      <w:pPr>
        <w:pStyle w:val="Compact"/>
        <w:numPr>
          <w:ilvl w:val="0"/>
          <w:numId w:val="1007"/>
        </w:numPr>
      </w:pPr>
      <w:r>
        <w:t xml:space="preserve">Quantified credit-bureau share gains</w:t>
      </w:r>
    </w:p>
    <w:p>
      <w:pPr>
        <w:pStyle w:val="Compact"/>
        <w:numPr>
          <w:ilvl w:val="0"/>
          <w:numId w:val="1007"/>
        </w:numPr>
      </w:pPr>
      <w:r>
        <w:t xml:space="preserve">Adoption outside mortgage</w:t>
      </w:r>
    </w:p>
    <w:p>
      <w:pPr>
        <w:pStyle w:val="Compact"/>
        <w:numPr>
          <w:ilvl w:val="0"/>
          <w:numId w:val="1007"/>
        </w:numPr>
      </w:pPr>
      <w:r>
        <w:t xml:space="preserve">Higher paid income and employment verification volumes</w:t>
      </w:r>
    </w:p>
    <w:p>
      <w:pPr>
        <w:pStyle w:val="Compact"/>
        <w:numPr>
          <w:ilvl w:val="0"/>
          <w:numId w:val="1007"/>
        </w:numPr>
      </w:pPr>
      <w:r>
        <w:t xml:space="preserve">Mid-single-digit growth in card, auto and financial-institution activity</w:t>
      </w:r>
    </w:p>
    <w:p>
      <w:pPr>
        <w:pStyle w:val="Compact"/>
        <w:numPr>
          <w:ilvl w:val="0"/>
          <w:numId w:val="1007"/>
        </w:numPr>
      </w:pPr>
      <w:r>
        <w:t xml:space="preserve">Improvement in offline batch revenue following a weak Q1 comparison</w:t>
      </w:r>
    </w:p>
    <w:p>
      <w:pPr>
        <w:pStyle w:val="FirstParagraph"/>
      </w:pPr>
      <w:r>
        <w:t xml:space="preserve">A miss here would be more concerning than a mortgage-related revenue miss because diversified USIS is less exposed to interest-rate volatility and should better reflect product execution.</w:t>
      </w:r>
    </w:p>
    <w:p>
      <w:r>
        <w:pict>
          <v:rect style="width:0;height:1.5pt" o:hralign="center" o:hrstd="t" o:hr="t"/>
        </w:pict>
      </w:r>
    </w:p>
    <w:bookmarkEnd w:id="20"/>
    <w:bookmarkStart w:id="22" w:name="X790fda8000b739be1fe91ed5cd24b7fae2d55a6"/>
    <w:p>
      <w:pPr>
        <w:pStyle w:val="Heading2"/>
      </w:pPr>
      <w:r>
        <w:t xml:space="preserve">5. Margin conversion may matter more than reported revenue</w:t>
      </w:r>
    </w:p>
    <w:p>
      <w:pPr>
        <w:pStyle w:val="FirstParagraph"/>
      </w:pPr>
      <w:r>
        <w:t xml:space="preserve">Management guided Q2 adjusted EBITDA to</w:t>
      </w:r>
      <w:r>
        <w:t xml:space="preserve"> </w:t>
      </w:r>
      <m:oMath>
        <m:r>
          <m:t>537</m:t>
        </m:r>
        <m:r>
          <m:t>M</m:t>
        </m:r>
        <m:r>
          <m:rPr>
            <m:sty m:val="p"/>
          </m:rPr>
          <m:t>–</m:t>
        </m:r>
      </m:oMath>
      <w:r>
        <w:rPr>
          <w:b/>
          <w:bCs/>
        </w:rPr>
        <w:t xml:space="preserve">554M</w:t>
      </w:r>
      <w:r>
        <w:t xml:space="preserve">, or roughly 9% year-over-year growth. Reported margin is expected near 32.2%, slightly below last year because FICO pass-through revenue has increased.</w:t>
      </w:r>
    </w:p>
    <w:p>
      <w:pPr>
        <w:pStyle w:val="BodyText"/>
      </w:pPr>
      <w:r>
        <w:t xml:space="preserve">Excluding FICO royalties, however, management expects margin of</w:t>
      </w:r>
      <w:r>
        <w:t xml:space="preserve"> </w:t>
      </w:r>
      <w:r>
        <w:rPr>
          <w:b/>
          <w:bCs/>
        </w:rPr>
        <w:t xml:space="preserve">34.3%–34.7%</w:t>
      </w:r>
      <w:r>
        <w:t xml:space="preserve">, more than 80 basis points higher year over year. Full-year guidance calls for approximately</w:t>
      </w:r>
      <w:r>
        <w:t xml:space="preserve"> </w:t>
      </w:r>
      <w:r>
        <w:rPr>
          <w:b/>
          <w:bCs/>
        </w:rPr>
        <w:t xml:space="preserve">75 basis points of ex-FICO expansion</w:t>
      </w:r>
      <w:r>
        <w:t xml:space="preserve">, ahead of Equifax’s 50-basis-point long-term framework. (</w:t>
      </w:r>
      <w:hyperlink r:id="rId21">
        <w:r>
          <w:rPr>
            <w:rStyle w:val="Hyperlink"/>
          </w:rPr>
          <w:t xml:space="preserve">marketscreener.com</w:t>
        </w:r>
      </w:hyperlink>
      <w:r>
        <w:t xml:space="preserve">)</w:t>
      </w:r>
    </w:p>
    <w:p>
      <w:pPr>
        <w:pStyle w:val="BodyText"/>
      </w:pPr>
      <w:r>
        <w:t xml:space="preserve">Investors should focus on whether Equifax is delivering:</w:t>
      </w:r>
    </w:p>
    <w:p>
      <w:pPr>
        <w:pStyle w:val="Compact"/>
        <w:numPr>
          <w:ilvl w:val="0"/>
          <w:numId w:val="1008"/>
        </w:numPr>
      </w:pPr>
      <w:r>
        <w:t xml:space="preserve">Normal operating leverage on organic growth</w:t>
      </w:r>
    </w:p>
    <w:p>
      <w:pPr>
        <w:pStyle w:val="Compact"/>
        <w:numPr>
          <w:ilvl w:val="0"/>
          <w:numId w:val="1008"/>
        </w:numPr>
      </w:pPr>
      <w:r>
        <w:t xml:space="preserve">AI-driven productivity in call centers, document processing and technology</w:t>
      </w:r>
    </w:p>
    <w:p>
      <w:pPr>
        <w:pStyle w:val="Compact"/>
        <w:numPr>
          <w:ilvl w:val="0"/>
          <w:numId w:val="1008"/>
        </w:numPr>
      </w:pPr>
      <w:r>
        <w:t xml:space="preserve">Stable investment in new products and The Work Number record growth</w:t>
      </w:r>
    </w:p>
    <w:p>
      <w:pPr>
        <w:pStyle w:val="Compact"/>
        <w:numPr>
          <w:ilvl w:val="0"/>
          <w:numId w:val="1008"/>
        </w:numPr>
      </w:pPr>
      <w:r>
        <w:t xml:space="preserve">Higher-margin VantageScore revenue</w:t>
      </w:r>
    </w:p>
    <w:p>
      <w:pPr>
        <w:pStyle w:val="Compact"/>
        <w:numPr>
          <w:ilvl w:val="0"/>
          <w:numId w:val="1008"/>
        </w:numPr>
      </w:pPr>
      <w:r>
        <w:t xml:space="preserve">More than $1B of full-year free cash flow</w:t>
      </w:r>
    </w:p>
    <w:p>
      <w:pPr>
        <w:pStyle w:val="FirstParagraph"/>
      </w:pPr>
      <w:r>
        <w:t xml:space="preserve">A headline revenue beat driven mainly by FICO royalties, without corresponding ex-FICO margin expansion, would be low quality.</w:t>
      </w:r>
    </w:p>
    <w:p>
      <w:r>
        <w:pict>
          <v:rect style="width:0;height:1.5pt" o:hralign="center" o:hrstd="t" o:hr="t"/>
        </w:pict>
      </w:r>
    </w:p>
    <w:bookmarkEnd w:id="22"/>
    <w:bookmarkStart w:id="25" w:name="X9e7b6cae437a9429aa8880df1e818d6419db2a5"/>
    <w:p>
      <w:pPr>
        <w:pStyle w:val="Heading2"/>
      </w:pPr>
      <w:r>
        <w:t xml:space="preserve">6. Círculo de Crédito changes the capital-allocation discussion</w:t>
      </w:r>
    </w:p>
    <w:p>
      <w:pPr>
        <w:pStyle w:val="FirstParagraph"/>
      </w:pPr>
      <w:r>
        <w:t xml:space="preserve">On July 7, Equifax agreed to acquire Mexican credit bureau</w:t>
      </w:r>
      <w:r>
        <w:t xml:space="preserve"> </w:t>
      </w:r>
      <w:r>
        <w:rPr>
          <w:b/>
          <w:bCs/>
        </w:rPr>
        <w:t xml:space="preserve">Círculo de Crédito</w:t>
      </w:r>
      <w:r>
        <w:t xml:space="preserve"> </w:t>
      </w:r>
      <w:r>
        <w:t xml:space="preserve">for a</w:t>
      </w:r>
      <w:r>
        <w:t xml:space="preserve"> </w:t>
      </w:r>
      <w:r>
        <w:rPr>
          <w:b/>
          <w:bCs/>
        </w:rPr>
        <w:t xml:space="preserve">$750 million enterprise value</w:t>
      </w:r>
      <w:r>
        <w:t xml:space="preserve">. The target is expected to generate approximately:</w:t>
      </w:r>
    </w:p>
    <w:p>
      <w:pPr>
        <w:pStyle w:val="Compact"/>
        <w:numPr>
          <w:ilvl w:val="0"/>
          <w:numId w:val="1009"/>
        </w:numPr>
      </w:pPr>
      <w:r>
        <w:t xml:space="preserve">$134M of trailing revenue, up 31%</w:t>
      </w:r>
    </w:p>
    <w:p>
      <w:pPr>
        <w:pStyle w:val="Compact"/>
        <w:numPr>
          <w:ilvl w:val="0"/>
          <w:numId w:val="1009"/>
        </w:numPr>
      </w:pPr>
      <w:r>
        <w:t xml:space="preserve">$62M of adjusted EBITDA</w:t>
      </w:r>
    </w:p>
    <w:p>
      <w:pPr>
        <w:pStyle w:val="Compact"/>
        <w:numPr>
          <w:ilvl w:val="0"/>
          <w:numId w:val="1009"/>
        </w:numPr>
      </w:pPr>
      <w:r>
        <w:t xml:space="preserve">Approximately 46% EBITDA margin</w:t>
      </w:r>
    </w:p>
    <w:p>
      <w:pPr>
        <w:pStyle w:val="FirstParagraph"/>
      </w:pPr>
      <w:r>
        <w:t xml:space="preserve">The price equates to roughly</w:t>
      </w:r>
      <w:r>
        <w:t xml:space="preserve"> </w:t>
      </w:r>
      <w:r>
        <w:rPr>
          <w:b/>
          <w:bCs/>
        </w:rPr>
        <w:t xml:space="preserve">12 times trailing adjusted EBITDA</w:t>
      </w:r>
      <w:r>
        <w:t xml:space="preserve">. The deal is expected to close in Q4 and be adjusted-EPS accretive in the first full year. (</w:t>
      </w:r>
      <w:hyperlink r:id="rId23">
        <w:r>
          <w:rPr>
            <w:rStyle w:val="Hyperlink"/>
          </w:rPr>
          <w:t xml:space="preserve">investor.equifax.com</w:t>
        </w:r>
      </w:hyperlink>
      <w:r>
        <w:t xml:space="preserve">)</w:t>
      </w:r>
    </w:p>
    <w:p>
      <w:pPr>
        <w:pStyle w:val="BodyText"/>
      </w:pPr>
      <w:r>
        <w:t xml:space="preserve">The acquisition should have little or no effect on Q2 and limited effect on 2026 revenue. Its immediate relevance is capital allocation:</w:t>
      </w:r>
    </w:p>
    <w:p>
      <w:pPr>
        <w:pStyle w:val="Compact"/>
        <w:numPr>
          <w:ilvl w:val="0"/>
          <w:numId w:val="1010"/>
        </w:numPr>
      </w:pPr>
      <w:r>
        <w:t xml:space="preserve">Equifax says leverage should remain below 3 times.</w:t>
      </w:r>
    </w:p>
    <w:p>
      <w:pPr>
        <w:pStyle w:val="Compact"/>
        <w:numPr>
          <w:ilvl w:val="0"/>
          <w:numId w:val="1010"/>
        </w:numPr>
      </w:pPr>
      <w:r>
        <w:t xml:space="preserve">Share repurchases can continue, but likely at a slower pace than in the first half.</w:t>
      </w:r>
    </w:p>
    <w:p>
      <w:pPr>
        <w:pStyle w:val="Compact"/>
        <w:numPr>
          <w:ilvl w:val="0"/>
          <w:numId w:val="1010"/>
        </w:numPr>
      </w:pPr>
      <w:r>
        <w:t xml:space="preserve">Management needs to explain expected integration costs, revenue synergies and the path to accretion. (</w:t>
      </w:r>
      <w:hyperlink r:id="rId24">
        <w:r>
          <w:rPr>
            <w:rStyle w:val="Hyperlink"/>
          </w:rPr>
          <w:t xml:space="preserve">marketscreener.com</w:t>
        </w:r>
      </w:hyperlink>
      <w:r>
        <w:t xml:space="preserve">)</w:t>
      </w:r>
    </w:p>
    <w:p>
      <w:pPr>
        <w:pStyle w:val="FirstParagraph"/>
      </w:pPr>
      <w:r>
        <w:t xml:space="preserve">The strategic logic is credible—Mexico offers faster credit-market growth and substantial alternative-data opportunities—but investors may demand clear returns given the stock’s weakness and the alternative of repurchasing shares.</w:t>
      </w:r>
    </w:p>
    <w:p>
      <w:r>
        <w:pict>
          <v:rect style="width:0;height:1.5pt" o:hralign="center" o:hrstd="t" o:hr="t"/>
        </w:pict>
      </w:r>
    </w:p>
    <w:bookmarkEnd w:id="25"/>
    <w:bookmarkStart w:id="26" w:name="stock-setup-and-valuation"/>
    <w:p>
      <w:pPr>
        <w:pStyle w:val="Heading2"/>
      </w:pPr>
      <w:r>
        <w:t xml:space="preserve">Stock setup and valuation</w:t>
      </w:r>
    </w:p>
    <w:p>
      <w:pPr>
        <w:pStyle w:val="FirstParagraph"/>
      </w:pPr>
      <w:r>
        <w:t xml:space="preserve">EFX closed July 20 at</w:t>
      </w:r>
      <w:r>
        <w:t xml:space="preserve"> </w:t>
      </w:r>
      <w:r>
        <w:rPr>
          <w:b/>
          <w:bCs/>
        </w:rPr>
        <w:t xml:space="preserve">$180.11</w:t>
      </w:r>
      <w:r>
        <w:t xml:space="preserve">, down approximately</w:t>
      </w:r>
      <w:r>
        <w:t xml:space="preserve"> </w:t>
      </w:r>
      <w:r>
        <w:rPr>
          <w:b/>
          <w:bCs/>
        </w:rPr>
        <w:t xml:space="preserve">16% from the beginning of 2026</w:t>
      </w:r>
      <w:r>
        <w:t xml:space="preserve"> </w:t>
      </w:r>
      <w:r>
        <w:t xml:space="preserve">and about</w:t>
      </w:r>
      <w:r>
        <w:t xml:space="preserve"> </w:t>
      </w:r>
      <w:r>
        <w:rPr>
          <w:b/>
          <w:bCs/>
        </w:rPr>
        <w:t xml:space="preserve">9% since the day before Q1 earnings</w:t>
      </w:r>
      <w:r>
        <w:t xml:space="preserve">, despite the strong Q1 beat. It has recovered roughly 14% from its May low.</w:t>
      </w:r>
    </w:p>
    <w:p>
      <w:pPr>
        <w:pStyle w:val="BodyText"/>
      </w:pPr>
      <w:r>
        <w:t xml:space="preserve">At the current price, the shares trade around:</w:t>
      </w:r>
    </w:p>
    <w:p>
      <w:pPr>
        <w:pStyle w:val="Compact"/>
        <w:numPr>
          <w:ilvl w:val="0"/>
          <w:numId w:val="1011"/>
        </w:numPr>
      </w:pPr>
      <w:r>
        <w:rPr>
          <w:b/>
          <w:bCs/>
        </w:rPr>
        <w:t xml:space="preserve">21 times</w:t>
      </w:r>
      <w:r>
        <w:t xml:space="preserve"> </w:t>
      </w:r>
      <w:r>
        <w:t xml:space="preserve">the 2026 consensus adjusted EPS estimate of approximately $8.56</w:t>
      </w:r>
    </w:p>
    <w:p>
      <w:pPr>
        <w:pStyle w:val="Compact"/>
        <w:numPr>
          <w:ilvl w:val="0"/>
          <w:numId w:val="1011"/>
        </w:numPr>
      </w:pPr>
      <w:r>
        <w:rPr>
          <w:b/>
          <w:bCs/>
        </w:rPr>
        <w:t xml:space="preserve">17.5 times</w:t>
      </w:r>
      <w:r>
        <w:t xml:space="preserve"> </w:t>
      </w:r>
      <w:r>
        <w:t xml:space="preserve">the 2027 consensus estimate of approximately $10.28</w:t>
      </w:r>
    </w:p>
    <w:p>
      <w:pPr>
        <w:pStyle w:val="FirstParagraph"/>
      </w:pPr>
      <w:r>
        <w:t xml:space="preserve">That is not a distressed valuation, but expectations appear meaningfully lower than they were earlier in the year. The stock may therefore respond well to stable guidance and credible VantageScore upside even without a large Q2 beat.</w:t>
      </w:r>
    </w:p>
    <w:p>
      <w:r>
        <w:pict>
          <v:rect style="width:0;height:1.5pt" o:hralign="center" o:hrstd="t" o:hr="t"/>
        </w:pict>
      </w:r>
    </w:p>
    <w:bookmarkEnd w:id="26"/>
    <w:bookmarkStart w:id="30" w:name="scenario-framework"/>
    <w:p>
      <w:pPr>
        <w:pStyle w:val="Heading2"/>
      </w:pPr>
      <w:r>
        <w:t xml:space="preserve">Scenario framework</w:t>
      </w:r>
    </w:p>
    <w:bookmarkStart w:id="27" w:name="bullish-outcome"/>
    <w:p>
      <w:pPr>
        <w:pStyle w:val="Heading3"/>
      </w:pPr>
      <w:r>
        <w:t xml:space="preserve">Bullish outcome</w:t>
      </w:r>
    </w:p>
    <w:p>
      <w:pPr>
        <w:pStyle w:val="Compact"/>
        <w:numPr>
          <w:ilvl w:val="0"/>
          <w:numId w:val="1012"/>
        </w:numPr>
      </w:pPr>
      <w:r>
        <w:t xml:space="preserve">Revenue and EPS exceed the upper ends of guidance</w:t>
      </w:r>
    </w:p>
    <w:p>
      <w:pPr>
        <w:pStyle w:val="Compact"/>
        <w:numPr>
          <w:ilvl w:val="0"/>
          <w:numId w:val="1012"/>
        </w:numPr>
      </w:pPr>
      <w:r>
        <w:t xml:space="preserve">Strong ex-FICO mortgage growth and continued credit-file share gains</w:t>
      </w:r>
    </w:p>
    <w:p>
      <w:pPr>
        <w:pStyle w:val="Compact"/>
        <w:numPr>
          <w:ilvl w:val="0"/>
          <w:numId w:val="1012"/>
        </w:numPr>
      </w:pPr>
      <w:r>
        <w:t xml:space="preserve">Measurable VantageScore adoption with incremental 2026 margin upside</w:t>
      </w:r>
    </w:p>
    <w:p>
      <w:pPr>
        <w:pStyle w:val="Compact"/>
        <w:numPr>
          <w:ilvl w:val="0"/>
          <w:numId w:val="1012"/>
        </w:numPr>
      </w:pPr>
      <w:r>
        <w:t xml:space="preserve">USIS diversified growth reaches mid-single digits</w:t>
      </w:r>
    </w:p>
    <w:p>
      <w:pPr>
        <w:pStyle w:val="Compact"/>
        <w:numPr>
          <w:ilvl w:val="0"/>
          <w:numId w:val="1012"/>
        </w:numPr>
      </w:pPr>
      <w:r>
        <w:t xml:space="preserve">Workforce Solutions sustains high-single-digit or better growth</w:t>
      </w:r>
    </w:p>
    <w:p>
      <w:pPr>
        <w:pStyle w:val="Compact"/>
        <w:numPr>
          <w:ilvl w:val="0"/>
          <w:numId w:val="1012"/>
        </w:numPr>
      </w:pPr>
      <w:r>
        <w:t xml:space="preserve">Full-year revenue/EPS guidance is raised</w:t>
      </w:r>
    </w:p>
    <w:p>
      <w:pPr>
        <w:pStyle w:val="Compact"/>
        <w:numPr>
          <w:ilvl w:val="0"/>
          <w:numId w:val="1012"/>
        </w:numPr>
      </w:pPr>
      <w:r>
        <w:t xml:space="preserve">Ex-FICO margin expansion remains at least 75 basis points</w:t>
      </w:r>
    </w:p>
    <w:bookmarkEnd w:id="27"/>
    <w:bookmarkStart w:id="28" w:name="base-case-outcome"/>
    <w:p>
      <w:pPr>
        <w:pStyle w:val="Heading3"/>
      </w:pPr>
      <w:r>
        <w:t xml:space="preserve">Base-case outcome</w:t>
      </w:r>
    </w:p>
    <w:p>
      <w:pPr>
        <w:pStyle w:val="Compact"/>
        <w:numPr>
          <w:ilvl w:val="0"/>
          <w:numId w:val="1013"/>
        </w:numPr>
      </w:pPr>
      <w:r>
        <w:t xml:space="preserve">Results near $1.70B of revenue and</w:t>
      </w:r>
      <w:r>
        <w:t xml:space="preserve"> </w:t>
      </w:r>
      <m:oMath>
        <m:r>
          <m:t>2.20</m:t>
        </m:r>
        <m:r>
          <m:rPr>
            <m:sty m:val="p"/>
          </m:rPr>
          <m:t>–</m:t>
        </m:r>
      </m:oMath>
      <w:r>
        <w:t xml:space="preserve">2.25 of adjusted EPS</w:t>
      </w:r>
    </w:p>
    <w:p>
      <w:pPr>
        <w:pStyle w:val="Compact"/>
        <w:numPr>
          <w:ilvl w:val="0"/>
          <w:numId w:val="1013"/>
        </w:numPr>
      </w:pPr>
      <w:r>
        <w:t xml:space="preserve">Headline mortgage growth remains strong, with modest Vantage contribution</w:t>
      </w:r>
    </w:p>
    <w:p>
      <w:pPr>
        <w:pStyle w:val="Compact"/>
        <w:numPr>
          <w:ilvl w:val="0"/>
          <w:numId w:val="1013"/>
        </w:numPr>
      </w:pPr>
      <w:r>
        <w:t xml:space="preserve">Workforce and USIS diversified growth broadly meet expectations</w:t>
      </w:r>
    </w:p>
    <w:p>
      <w:pPr>
        <w:pStyle w:val="Compact"/>
        <w:numPr>
          <w:ilvl w:val="0"/>
          <w:numId w:val="1013"/>
        </w:numPr>
      </w:pPr>
      <w:r>
        <w:t xml:space="preserve">Full-year guidance is maintained</w:t>
      </w:r>
    </w:p>
    <w:p>
      <w:pPr>
        <w:pStyle w:val="Compact"/>
        <w:numPr>
          <w:ilvl w:val="0"/>
          <w:numId w:val="1013"/>
        </w:numPr>
      </w:pPr>
      <w:r>
        <w:t xml:space="preserve">Management frames VantageScore as primarily a 2027 opportunity</w:t>
      </w:r>
    </w:p>
    <w:bookmarkEnd w:id="28"/>
    <w:bookmarkStart w:id="29" w:name="bearish-outcome"/>
    <w:p>
      <w:pPr>
        <w:pStyle w:val="Heading3"/>
      </w:pPr>
      <w:r>
        <w:t xml:space="preserve">Bearish outcome</w:t>
      </w:r>
    </w:p>
    <w:p>
      <w:pPr>
        <w:pStyle w:val="Compact"/>
        <w:numPr>
          <w:ilvl w:val="0"/>
          <w:numId w:val="1014"/>
        </w:numPr>
      </w:pPr>
      <w:r>
        <w:t xml:space="preserve">Mortgage activity falls below management’s assumptions</w:t>
      </w:r>
    </w:p>
    <w:p>
      <w:pPr>
        <w:pStyle w:val="Compact"/>
        <w:numPr>
          <w:ilvl w:val="0"/>
          <w:numId w:val="1014"/>
        </w:numPr>
      </w:pPr>
      <w:r>
        <w:t xml:space="preserve">Reported growth is heavily dependent on zero-margin FICO royalties</w:t>
      </w:r>
    </w:p>
    <w:p>
      <w:pPr>
        <w:pStyle w:val="Compact"/>
        <w:numPr>
          <w:ilvl w:val="0"/>
          <w:numId w:val="1014"/>
        </w:numPr>
      </w:pPr>
      <w:r>
        <w:t xml:space="preserve">Government verification or Talent Solutions weakens</w:t>
      </w:r>
    </w:p>
    <w:p>
      <w:pPr>
        <w:pStyle w:val="Compact"/>
        <w:numPr>
          <w:ilvl w:val="0"/>
          <w:numId w:val="1014"/>
        </w:numPr>
      </w:pPr>
      <w:r>
        <w:t xml:space="preserve">USIS diversified growth remains low single digits</w:t>
      </w:r>
    </w:p>
    <w:p>
      <w:pPr>
        <w:pStyle w:val="Compact"/>
        <w:numPr>
          <w:ilvl w:val="0"/>
          <w:numId w:val="1014"/>
        </w:numPr>
      </w:pPr>
      <w:r>
        <w:t xml:space="preserve">Full-year guidance is cut or the range is shifted lower</w:t>
      </w:r>
    </w:p>
    <w:p>
      <w:pPr>
        <w:pStyle w:val="Compact"/>
        <w:numPr>
          <w:ilvl w:val="0"/>
          <w:numId w:val="1014"/>
        </w:numPr>
      </w:pPr>
      <w:r>
        <w:t xml:space="preserve">Círculo financing materially constrains buybacks</w:t>
      </w:r>
    </w:p>
    <w:p>
      <w:pPr>
        <w:pStyle w:val="Compact"/>
        <w:numPr>
          <w:ilvl w:val="0"/>
          <w:numId w:val="1014"/>
        </w:numPr>
      </w:pPr>
      <w:r>
        <w:t xml:space="preserve">Ex-FICO margin expansion falls below plan</w:t>
      </w:r>
    </w:p>
    <w:p>
      <w:r>
        <w:pict>
          <v:rect style="width:0;height:1.5pt" o:hralign="center" o:hrstd="t" o:hr="t"/>
        </w:pict>
      </w:r>
    </w:p>
    <w:bookmarkEnd w:id="29"/>
    <w:bookmarkEnd w:id="30"/>
    <w:bookmarkStart w:id="31" w:name="bottom-line"/>
    <w:p>
      <w:pPr>
        <w:pStyle w:val="Heading2"/>
      </w:pPr>
      <w:r>
        <w:t xml:space="preserve">Bottom line</w:t>
      </w:r>
    </w:p>
    <w:p>
      <w:pPr>
        <w:pStyle w:val="FirstParagraph"/>
      </w:pPr>
      <w:r>
        <w:rPr>
          <w:b/>
          <w:bCs/>
        </w:rPr>
        <w:t xml:space="preserve">This is primarily a guidance and VantageScore report, not an EPS-surprise event.</w:t>
      </w:r>
      <w:r>
        <w:t xml:space="preserve"> </w:t>
      </w:r>
      <w:r>
        <w:t xml:space="preserve">Consensus is already near the midpoint of Equifax’s Q2 range, so a routine beat may carry limited weight.</w:t>
      </w:r>
    </w:p>
    <w:p>
      <w:pPr>
        <w:pStyle w:val="BodyText"/>
      </w:pPr>
      <w:r>
        <w:t xml:space="preserve">The most important question is whether Equifax can demonstrate that its earnings growth is becoming less dependent on mortgage volumes and more driven by:</w:t>
      </w:r>
    </w:p>
    <w:p>
      <w:pPr>
        <w:pStyle w:val="Compact"/>
        <w:numPr>
          <w:ilvl w:val="0"/>
          <w:numId w:val="1015"/>
        </w:numPr>
      </w:pPr>
      <w:r>
        <w:t xml:space="preserve">Work Number record and product expansion</w:t>
      </w:r>
    </w:p>
    <w:p>
      <w:pPr>
        <w:pStyle w:val="Compact"/>
        <w:numPr>
          <w:ilvl w:val="0"/>
          <w:numId w:val="1015"/>
        </w:numPr>
      </w:pPr>
      <w:r>
        <w:t xml:space="preserve">Credit-bureau share gains from proprietary employment data</w:t>
      </w:r>
    </w:p>
    <w:p>
      <w:pPr>
        <w:pStyle w:val="Compact"/>
        <w:numPr>
          <w:ilvl w:val="0"/>
          <w:numId w:val="1015"/>
        </w:numPr>
      </w:pPr>
      <w:r>
        <w:t xml:space="preserve">Government verification growth</w:t>
      </w:r>
    </w:p>
    <w:p>
      <w:pPr>
        <w:pStyle w:val="Compact"/>
        <w:numPr>
          <w:ilvl w:val="0"/>
          <w:numId w:val="1015"/>
        </w:numPr>
      </w:pPr>
      <w:r>
        <w:t xml:space="preserve">AI-supported margin expansion</w:t>
      </w:r>
    </w:p>
    <w:p>
      <w:pPr>
        <w:pStyle w:val="Compact"/>
        <w:numPr>
          <w:ilvl w:val="0"/>
          <w:numId w:val="1015"/>
        </w:numPr>
      </w:pPr>
      <w:r>
        <w:t xml:space="preserve">Conversion from zero-margin FICO royalties to high-margin VantageScore</w:t>
      </w:r>
    </w:p>
    <w:p>
      <w:pPr>
        <w:pStyle w:val="FirstParagraph"/>
      </w:pPr>
      <w:r>
        <w:t xml:space="preserve">If those elements are intact and full-year guidance is maintained or raised, the stock’s year-to-date underperformance creates a favorable setup. If management instead reduces mortgage expectations without quantifying VantageScore or diversified-market offsets, the report could reinforce concerns that the Q1 strength was temporary.</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3" Target="https://investor.equifax.com/news-events/press-releases/detail/1411/equifax-announces-definitive-agreement-to-acquire-crculo" TargetMode="External" /><Relationship Type="http://schemas.openxmlformats.org/officeDocument/2006/relationships/hyperlink" Id="rId9" Target="https://investor.equifax.com/news-events/press-releases/detail/1412/equifax-announces-earnings-release-date-and-conference-call" TargetMode="External" /><Relationship Type="http://schemas.openxmlformats.org/officeDocument/2006/relationships/hyperlink" Id="rId15" Target="https://investor.equifax.com/sec-filings/all-sec-filings/content/0001193125-26-110855/0001193125-26-110855.pdf?utm_source=openai" TargetMode="External" /><Relationship Type="http://schemas.openxmlformats.org/officeDocument/2006/relationships/hyperlink" Id="rId17" Target="https://www.bls.gov/jlt/?utm_source=openai" TargetMode="External" /><Relationship Type="http://schemas.openxmlformats.org/officeDocument/2006/relationships/hyperlink" Id="rId14" Target="https://www.fanniemae.com/newsroom/fannie-mae-news/credit-score-updates-advance-modernization" TargetMode="External" /><Relationship Type="http://schemas.openxmlformats.org/officeDocument/2006/relationships/hyperlink" Id="rId12" Target="https://www.freddiemac.com/pmms/archive?utm_source=openai" TargetMode="External" /><Relationship Type="http://schemas.openxmlformats.org/officeDocument/2006/relationships/hyperlink" Id="rId21" Target="https://www.marketscreener.com/news/equifax-april-2026-investor-relations-presentation-ce7f59dbda8cf320?utm_source=openai" TargetMode="External" /><Relationship Type="http://schemas.openxmlformats.org/officeDocument/2006/relationships/hyperlink" Id="rId24" Target="https://www.marketscreener.com/news/equifax-investor-letter-c-rculo-de-credito-acquisition-ce7f5ed8da8df025?utm_source=openai" TargetMode="External" /><Relationship Type="http://schemas.openxmlformats.org/officeDocument/2006/relationships/hyperlink" Id="rId10" Target="https://www.sec.gov/Archives/edgar/data/33185/000003318526000016/exhibit9912026033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23" Target="https://investor.equifax.com/news-events/press-releases/detail/1411/equifax-announces-definitive-agreement-to-acquire-crculo" TargetMode="External" /><Relationship Type="http://schemas.openxmlformats.org/officeDocument/2006/relationships/hyperlink" Id="rId9" Target="https://investor.equifax.com/news-events/press-releases/detail/1412/equifax-announces-earnings-release-date-and-conference-call" TargetMode="External" /><Relationship Type="http://schemas.openxmlformats.org/officeDocument/2006/relationships/hyperlink" Id="rId15" Target="https://investor.equifax.com/sec-filings/all-sec-filings/content/0001193125-26-110855/0001193125-26-110855.pdf?utm_source=openai" TargetMode="External" /><Relationship Type="http://schemas.openxmlformats.org/officeDocument/2006/relationships/hyperlink" Id="rId17" Target="https://www.bls.gov/jlt/?utm_source=openai" TargetMode="External" /><Relationship Type="http://schemas.openxmlformats.org/officeDocument/2006/relationships/hyperlink" Id="rId14" Target="https://www.fanniemae.com/newsroom/fannie-mae-news/credit-score-updates-advance-modernization" TargetMode="External" /><Relationship Type="http://schemas.openxmlformats.org/officeDocument/2006/relationships/hyperlink" Id="rId12" Target="https://www.freddiemac.com/pmms/archive?utm_source=openai" TargetMode="External" /><Relationship Type="http://schemas.openxmlformats.org/officeDocument/2006/relationships/hyperlink" Id="rId21" Target="https://www.marketscreener.com/news/equifax-april-2026-investor-relations-presentation-ce7f59dbda8cf320?utm_source=openai" TargetMode="External" /><Relationship Type="http://schemas.openxmlformats.org/officeDocument/2006/relationships/hyperlink" Id="rId24" Target="https://www.marketscreener.com/news/equifax-investor-letter-c-rculo-de-credito-acquisition-ce7f5ed8da8df025?utm_source=openai" TargetMode="External" /><Relationship Type="http://schemas.openxmlformats.org/officeDocument/2006/relationships/hyperlink" Id="rId10" Target="https://www.sec.gov/Archives/edgar/data/33185/000003318526000016/exhibit9912026033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2026-07-21T00:34:39Z</dcterms:created>
  <dcterms:modified xsi:type="dcterms:W3CDTF">2026-07-21T00:34:39Z</dcterms:modified>
</cp:coreProperties>
</file>

<file path=docProps/custom.xml><?xml version="1.0" encoding="utf-8"?>
<Properties xmlns="http://schemas.openxmlformats.org/officeDocument/2006/custom-properties" xmlns:vt="http://schemas.openxmlformats.org/officeDocument/2006/docPropsVTypes"/>
</file>