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1" w:name="equifax-efx--2q26-earnings-preview"/>
    <w:p>
      <w:pPr>
        <w:pStyle w:val="Heading1"/>
      </w:pPr>
      <w:r>
        <w:t xml:space="preserve">Equifax (EFX) — 2Q26 Earnings Preview</w:t>
      </w:r>
    </w:p>
    <w:p>
      <w:pPr>
        <w:pStyle w:val="FirstParagraph"/>
      </w:pPr>
      <w:r>
        <w:rPr>
          <w:b/>
          <w:bCs/>
        </w:rPr>
        <w:t xml:space="preserve">Event timing:</w:t>
      </w:r>
      <w:r>
        <w:t xml:space="preserve"> </w:t>
      </w:r>
      <w:r>
        <w:t xml:space="preserve">Equifax is scheduled to report</w:t>
      </w:r>
      <w:r>
        <w:t xml:space="preserve"> </w:t>
      </w:r>
      <w:r>
        <w:rPr>
          <w:b/>
          <w:bCs/>
        </w:rPr>
        <w:t xml:space="preserve">2Q 2026 results and host its earnings call on Wednesday, July 22, 2026</w:t>
      </w:r>
      <w:r>
        <w:t xml:space="preserve">. (Today is Tuesday, July 21.)</w:t>
      </w:r>
    </w:p>
    <w:bookmarkStart w:id="9" w:name="preview-thesis"/>
    <w:p>
      <w:pPr>
        <w:pStyle w:val="Heading2"/>
      </w:pPr>
      <w:r>
        <w:t xml:space="preserve">Preview thesis</w:t>
      </w:r>
    </w:p>
    <w:p>
      <w:pPr>
        <w:pStyle w:val="FirstParagraph"/>
      </w:pPr>
      <w:r>
        <w:t xml:space="preserve">Equifax enters earnings with a relatively straightforward near-term setup:</w:t>
      </w:r>
      <w:r>
        <w:t xml:space="preserve"> </w:t>
      </w:r>
      <w:r>
        <w:rPr>
          <w:b/>
          <w:bCs/>
        </w:rPr>
        <w:t xml:space="preserve">the quarter should be judged less on the headline revenue/EPS result and more on whether the company can sustain its organic growth and margin expansion outside of mortgage/FICO pass-through revenue.</w:t>
      </w:r>
    </w:p>
    <w:p>
      <w:pPr>
        <w:pStyle w:val="BodyText"/>
      </w:pPr>
      <w:r>
        <w:t xml:space="preserve">The key debate is whether the very strong 1Q performance—helped by elevated mortgage activity early in the quarter—can translate into a maintained or improved full-year outlook despite a softer mortgage-rate backdrop and tougher comparisons in Workforce Solutions Government. Against that, EFX has several company-specific levers: income-and-employment-data share gains, new</w:t>
      </w:r>
      <w:r>
        <w:t xml:space="preserve"> </w:t>
      </w:r>
      <w:r>
        <w:rPr>
          <w:i/>
          <w:iCs/>
        </w:rPr>
        <w:t xml:space="preserve">The Work Number</w:t>
      </w:r>
      <w:r>
        <w:t xml:space="preserve"> </w:t>
      </w:r>
      <w:r>
        <w:t xml:space="preserve">(“TWN”) Indicator products, AI-led productivity, and expanding new-product revenue.</w:t>
      </w:r>
    </w:p>
    <w:p>
      <w:pPr>
        <w:pStyle w:val="BodyText"/>
      </w:pPr>
      <w:r>
        <w:t xml:space="preserve">The stock had recovered sharply into the report, closing at</w:t>
      </w:r>
      <w:r>
        <w:t xml:space="preserve"> </w:t>
      </w:r>
      <w:r>
        <w:rPr>
          <w:b/>
          <w:bCs/>
        </w:rPr>
        <w:t xml:space="preserve">$180.11 on July 20</w:t>
      </w:r>
      <w:r>
        <w:t xml:space="preserve">—up about</w:t>
      </w:r>
      <w:r>
        <w:t xml:space="preserve"> </w:t>
      </w:r>
      <w:r>
        <w:rPr>
          <w:b/>
          <w:bCs/>
        </w:rPr>
        <w:t xml:space="preserve">17% from its June 22 low</w:t>
      </w:r>
      <w:r>
        <w:t xml:space="preserve">, though still roughly</w:t>
      </w:r>
      <w:r>
        <w:t xml:space="preserve"> </w:t>
      </w:r>
      <w:r>
        <w:rPr>
          <w:b/>
          <w:bCs/>
        </w:rPr>
        <w:t xml:space="preserve">9% below its April 20 level</w:t>
      </w:r>
      <w:r>
        <w:t xml:space="preserve">. That suggests investors may already be anticipating a clean quarter and puts more weight on commentary around the second half and 2026 guidance.</w:t>
      </w:r>
    </w:p>
    <w:p>
      <w:r>
        <w:pict>
          <v:rect style="width:0;height:1.5pt" o:hralign="center" o:hrstd="t" o:hr="t"/>
        </w:pict>
      </w:r>
    </w:p>
    <w:bookmarkEnd w:id="9"/>
    <w:bookmarkStart w:id="10" w:name="what-management-has-guided-for-2q26"/>
    <w:p>
      <w:pPr>
        <w:pStyle w:val="Heading2"/>
      </w:pPr>
      <w:r>
        <w:t xml:space="preserve">What management has guided for 2Q26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2Q26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1.680</m:t>
              </m:r>
              <m:r>
                <m:t>B</m:t>
              </m:r>
              <m:r>
                <m:rPr>
                  <m:sty m:val="p"/>
                </m:rPr>
                <m:t>–</m:t>
              </m:r>
            </m:oMath>
            <w:r>
              <w:t xml:space="preserve">1.710B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$1.695B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Reported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9.3%–11.3%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10.3%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Constant-currency revenue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8.4%–10.4%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9.4%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2.15</m:t>
              </m:r>
              <m:r>
                <m:rPr>
                  <m:sty m:val="p"/>
                </m:rPr>
                <m:t>–</m:t>
              </m:r>
            </m:oMath>
            <w:r>
              <w:t xml:space="preserve">2.25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$2.20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m:oMath>
              <m:r>
                <m:t>537</m:t>
              </m:r>
              <m:r>
                <m:t>M</m:t>
              </m:r>
              <m:r>
                <m:rPr>
                  <m:sty m:val="p"/>
                </m:rPr>
                <m:t>–</m:t>
              </m:r>
            </m:oMath>
            <w:r>
              <w:t xml:space="preserve">554M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$545.5M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 margin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~32.2%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 growth ex-FICO mortgage-score pass-through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—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~6.5% reported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EBITDA margin ex-FICO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34.3%–34.7%</w:t>
            </w:r>
          </w:p>
        </w:tc>
        <w:tc>
          <w:tcPr/>
          <w:p>
            <w:pPr>
              <w:pStyle w:val="Compact"/>
              <w:jc w:val="right"/>
            </w:pPr>
            <w:r>
              <w:rPr>
                <w:b/>
                <w:bCs/>
              </w:rPr>
              <w:t xml:space="preserve">~34.5%</w:t>
            </w:r>
          </w:p>
        </w:tc>
      </w:tr>
    </w:tbl>
    <w:p>
      <w:pPr>
        <w:pStyle w:val="BodyText"/>
      </w:pPr>
      <w:r>
        <w:t xml:space="preserve">The distinction between reported revenue and revenue ex-FICO is important. Equifax earns</w:t>
      </w:r>
      <w:r>
        <w:t xml:space="preserve"> </w:t>
      </w:r>
      <w:r>
        <w:rPr>
          <w:b/>
          <w:bCs/>
        </w:rPr>
        <w:t xml:space="preserve">no margin on FICO mortgage-score revenue</w:t>
      </w:r>
      <w:r>
        <w:t xml:space="preserve">, so the reported mortgage contribution can make headline revenue growth look stronger than the underlying earnings economics. Investors should therefore focus on ex-FICO revenue growth, segment margins, and organic growth drivers.</w:t>
      </w:r>
    </w:p>
    <w:p>
      <w:r>
        <w:pict>
          <v:rect style="width:0;height:1.5pt" o:hralign="center" o:hrstd="t" o:hr="t"/>
        </w:pict>
      </w:r>
    </w:p>
    <w:bookmarkEnd w:id="10"/>
    <w:bookmarkStart w:id="15" w:name="X73e11f6c858be54af142042c2895bc4ae05206d"/>
    <w:p>
      <w:pPr>
        <w:pStyle w:val="Heading2"/>
      </w:pPr>
      <w:r>
        <w:t xml:space="preserve">The core questions heading into the print</w:t>
      </w:r>
    </w:p>
    <w:bookmarkStart w:id="11" w:name="X74e6055094f7922f6f5b9595f806307f13c347e"/>
    <w:p>
      <w:pPr>
        <w:pStyle w:val="Heading3"/>
      </w:pPr>
      <w:r>
        <w:t xml:space="preserve">1. Can EFX deliver at or above its 2Q guide without relying excessively on mortgage?</w:t>
      </w:r>
    </w:p>
    <w:p>
      <w:pPr>
        <w:pStyle w:val="FirstParagraph"/>
      </w:pPr>
      <w:r>
        <w:t xml:space="preserve">In 1Q, revenue was</w:t>
      </w:r>
      <w:r>
        <w:t xml:space="preserve"> </w:t>
      </w:r>
      <w:r>
        <w:rPr>
          <w:b/>
          <w:bCs/>
        </w:rPr>
        <w:t xml:space="preserve">$1.649B</w:t>
      </w:r>
      <w:r>
        <w:t xml:space="preserve">, up</w:t>
      </w:r>
      <w:r>
        <w:t xml:space="preserve"> </w:t>
      </w:r>
      <w:r>
        <w:rPr>
          <w:b/>
          <w:bCs/>
        </w:rPr>
        <w:t xml:space="preserve">14% reported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13% in local currency</w:t>
      </w:r>
      <w:r>
        <w:t xml:space="preserve">, or $37M above the midpoint of guidance. The main contributor was U.S. mortgage revenue, which rose 38%, reflecting stronger activity in January and February before higher rates reduced mortgage activity later in the quarter.</w:t>
      </w:r>
    </w:p>
    <w:p>
      <w:pPr>
        <w:pStyle w:val="BodyText"/>
      </w:pPr>
      <w:r>
        <w:t xml:space="preserve">For 2Q, management guided to mortgage revenue growth of</w:t>
      </w:r>
      <w:r>
        <w:t xml:space="preserve"> </w:t>
      </w:r>
      <w:r>
        <w:rPr>
          <w:b/>
          <w:bCs/>
        </w:rPr>
        <w:t xml:space="preserve">more than 20%</w:t>
      </w:r>
      <w:r>
        <w:t xml:space="preserve">, but it acknowledged that mortgage run rates had weakened from the elevated early-1Q level. The most constructive outcome would be:</w:t>
      </w:r>
    </w:p>
    <w:p>
      <w:pPr>
        <w:pStyle w:val="Compact"/>
        <w:numPr>
          <w:ilvl w:val="0"/>
          <w:numId w:val="1001"/>
        </w:numPr>
      </w:pPr>
      <w:r>
        <w:t xml:space="preserve">revenue at or above the</w:t>
      </w:r>
      <w:r>
        <w:t xml:space="preserve"> </w:t>
      </w:r>
      <w:r>
        <w:rPr>
          <w:b/>
          <w:bCs/>
        </w:rPr>
        <w:t xml:space="preserve">$1.695B midpoint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ex-FICO growth that holds near or exceeds the guided ~6.5%;</w:t>
      </w:r>
    </w:p>
    <w:p>
      <w:pPr>
        <w:pStyle w:val="Compact"/>
        <w:numPr>
          <w:ilvl w:val="0"/>
          <w:numId w:val="1001"/>
        </w:numPr>
      </w:pPr>
      <w:r>
        <w:t xml:space="preserve">evidence that share gains and new products are offsetting a less favorable mortgage-volume environment.</w:t>
      </w:r>
    </w:p>
    <w:p>
      <w:pPr>
        <w:pStyle w:val="FirstParagraph"/>
      </w:pPr>
      <w:r>
        <w:t xml:space="preserve">A beat driven primarily by FICO pass-through revenue or short-lived mortgage strength would be less valuable than a beat driven by Workforce Solutions verification, USIS diversified markets, and share gains in one-bureau prequalification workflows.</w:t>
      </w:r>
    </w:p>
    <w:bookmarkEnd w:id="11"/>
    <w:bookmarkStart w:id="12" w:name="X5d47c51d980a567c9ed11cae3de4cf1eca9bcaf"/>
    <w:p>
      <w:pPr>
        <w:pStyle w:val="Heading3"/>
      </w:pPr>
      <w:r>
        <w:t xml:space="preserve">2. Is Workforce Solutions still compounding as the company’s highest-quality growth asset?</w:t>
      </w:r>
    </w:p>
    <w:p>
      <w:pPr>
        <w:pStyle w:val="FirstParagraph"/>
      </w:pPr>
      <w:r>
        <w:t xml:space="preserve">Workforce Solutions generated</w:t>
      </w:r>
      <w:r>
        <w:t xml:space="preserve"> </w:t>
      </w:r>
      <w:r>
        <w:rPr>
          <w:b/>
          <w:bCs/>
        </w:rPr>
        <w:t xml:space="preserve">$683M of 1Q revenue</w:t>
      </w:r>
      <w:r>
        <w:t xml:space="preserve">, up 10%, with a</w:t>
      </w:r>
      <w:r>
        <w:t xml:space="preserve"> </w:t>
      </w:r>
      <w:r>
        <w:rPr>
          <w:b/>
          <w:bCs/>
        </w:rPr>
        <w:t xml:space="preserve">52.3% adjusted EBITDA margin</w:t>
      </w:r>
      <w:r>
        <w:t xml:space="preserve">. Verification Services grew 14%, supported by Government, mortgage verification, consumer lending, and Talent Solutions.</w:t>
      </w:r>
    </w:p>
    <w:p>
      <w:pPr>
        <w:pStyle w:val="BodyText"/>
      </w:pPr>
      <w:r>
        <w:t xml:space="preserve">The 2Q complication is the Government business. Management warned that Government revenue would be roughly flat sequentially and face a difficult year-over-year comparison because a large Social Security Administration contract began contributing in 2Q25. This does not undermine the longer-term opportunity, but it creates a near-term hurdle.</w:t>
      </w:r>
    </w:p>
    <w:p>
      <w:pPr>
        <w:pStyle w:val="BodyText"/>
      </w:pPr>
      <w:r>
        <w:t xml:space="preserve">Investors should listen for: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Government verification:</w:t>
      </w:r>
      <w:r>
        <w:t xml:space="preserve"> </w:t>
      </w:r>
      <w:r>
        <w:t xml:space="preserve">Is the expected difficult comparison playing out as planned, or is it worse than anticipated?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Pipeline conversion:</w:t>
      </w:r>
      <w:r>
        <w:t xml:space="preserve"> </w:t>
      </w:r>
      <w:r>
        <w:t xml:space="preserve">EFX has said its Government pipeline is more than double the prior-year level, but much of the benefit from expanded Medicaid/SNAP-related verification requirements is expected later in 2026 and especially in 2027.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Work Number record growth:</w:t>
      </w:r>
      <w:r>
        <w:t xml:space="preserve"> </w:t>
      </w:r>
      <w:r>
        <w:t xml:space="preserve">Active records reached 211M in 1Q, up 11%; continued growth expands hit rates and monetization potential.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Talent Solutions:</w:t>
      </w:r>
      <w:r>
        <w:t xml:space="preserve"> </w:t>
      </w:r>
      <w:r>
        <w:t xml:space="preserve">Continued resilience despite a soft white-collar hiring market would reinforce the company’s execution and product-market fit.</w:t>
      </w:r>
    </w:p>
    <w:p>
      <w:pPr>
        <w:pStyle w:val="FirstParagraph"/>
      </w:pPr>
      <w:r>
        <w:t xml:space="preserve">The main risk is that state-budget pressure, implementation timing, or competition from consumer-permissioned verification products delays Government revenue conversion.</w:t>
      </w:r>
    </w:p>
    <w:bookmarkEnd w:id="12"/>
    <w:bookmarkStart w:id="13" w:name="Xa804bdb18e73f7683df26e389fc721169a1558b"/>
    <w:p>
      <w:pPr>
        <w:pStyle w:val="Heading3"/>
      </w:pPr>
      <w:r>
        <w:t xml:space="preserve">3. Are USIS share gains real and broadening beyond mortgage?</w:t>
      </w:r>
    </w:p>
    <w:p>
      <w:pPr>
        <w:pStyle w:val="FirstParagraph"/>
      </w:pPr>
      <w:r>
        <w:t xml:space="preserve">USIS revenue rose 21% in 1Q, although much of that came from mortgage and FICO pass-through. Ex-FICO, USIS grew 8%, near the high end of its long-term framework.</w:t>
      </w:r>
    </w:p>
    <w:p>
      <w:pPr>
        <w:pStyle w:val="BodyText"/>
      </w:pPr>
      <w:r>
        <w:t xml:space="preserve">The strategic differentiator is the</w:t>
      </w:r>
      <w:r>
        <w:t xml:space="preserve"> </w:t>
      </w:r>
      <w:r>
        <w:rPr>
          <w:b/>
          <w:bCs/>
        </w:rPr>
        <w:t xml:space="preserve">TWN Indicator</w:t>
      </w:r>
      <w:r>
        <w:t xml:space="preserve">: Equifax is attaching employment/income availability information to its credit-file products, initially in mortgage and now in auto, card, and personal lending. EFX is providing certain income-and-employment and alternative-data attributes at no charge to make its credit file more valuable in one-bureau prequalification and marketing workflows—seeking credit-file share gains first, with verification monetization later in the lending process.</w:t>
      </w:r>
    </w:p>
    <w:p>
      <w:pPr>
        <w:pStyle w:val="BodyText"/>
      </w:pPr>
      <w:r>
        <w:t xml:space="preserve">What matters in 2Q:</w:t>
      </w:r>
    </w:p>
    <w:p>
      <w:pPr>
        <w:pStyle w:val="Compact"/>
        <w:numPr>
          <w:ilvl w:val="0"/>
          <w:numId w:val="1003"/>
        </w:numPr>
      </w:pPr>
      <w:r>
        <w:t xml:space="preserve">whether mortgage prequalification share gains continue;</w:t>
      </w:r>
    </w:p>
    <w:p>
      <w:pPr>
        <w:pStyle w:val="Compact"/>
        <w:numPr>
          <w:ilvl w:val="0"/>
          <w:numId w:val="1003"/>
        </w:numPr>
      </w:pPr>
      <w:r>
        <w:t xml:space="preserve">early customer adoption for auto, card, and personal-loan TWN Indicator offerings;</w:t>
      </w:r>
    </w:p>
    <w:p>
      <w:pPr>
        <w:pStyle w:val="Compact"/>
        <w:numPr>
          <w:ilvl w:val="0"/>
          <w:numId w:val="1003"/>
        </w:numPr>
      </w:pPr>
      <w:r>
        <w:t xml:space="preserve">whether USIS diversified-markets growth improves from the 3% reported in 1Q;</w:t>
      </w:r>
    </w:p>
    <w:p>
      <w:pPr>
        <w:pStyle w:val="Compact"/>
        <w:numPr>
          <w:ilvl w:val="0"/>
          <w:numId w:val="1003"/>
        </w:numPr>
      </w:pPr>
      <w:r>
        <w:t xml:space="preserve">whether softer auto and banking activity seen late in 1Q stabilized or deteriorated.</w:t>
      </w:r>
    </w:p>
    <w:p>
      <w:pPr>
        <w:pStyle w:val="FirstParagraph"/>
      </w:pPr>
      <w:r>
        <w:t xml:space="preserve">A meaningful acceleration in USIS diversified markets would strengthen the case that EFX’s proprietary data can drive growth independent of mortgage cyclicality.</w:t>
      </w:r>
    </w:p>
    <w:bookmarkEnd w:id="13"/>
    <w:bookmarkStart w:id="14" w:name="Xac1a63664605ea6476972c823eda1d6b4e741e8"/>
    <w:p>
      <w:pPr>
        <w:pStyle w:val="Heading3"/>
      </w:pPr>
      <w:r>
        <w:t xml:space="preserve">4. Does margin expansion remain intact?</w:t>
      </w:r>
    </w:p>
    <w:p>
      <w:pPr>
        <w:pStyle w:val="FirstParagraph"/>
      </w:pPr>
      <w:r>
        <w:t xml:space="preserve">Management’s full-year framework calls for</w:t>
      </w:r>
      <w:r>
        <w:t xml:space="preserve"> </w:t>
      </w:r>
      <w:r>
        <w:rPr>
          <w:b/>
          <w:bCs/>
        </w:rPr>
        <w:t xml:space="preserve">75 bps of EBITDA-margin expansion excluding FICO</w:t>
      </w:r>
      <w:r>
        <w:t xml:space="preserve">, above its long-term 50-bps target. The company has attributed the improvement to operating leverage, product mix, mortgage flow-through, and AI-enabled productivity.</w:t>
      </w:r>
    </w:p>
    <w:p>
      <w:pPr>
        <w:pStyle w:val="BodyText"/>
      </w:pPr>
      <w:r>
        <w:t xml:space="preserve">The 2Q guide implies approximately</w:t>
      </w:r>
      <w:r>
        <w:t xml:space="preserve"> </w:t>
      </w:r>
      <w:r>
        <w:rPr>
          <w:b/>
          <w:bCs/>
        </w:rPr>
        <w:t xml:space="preserve">34.5% EBITDA margin excluding FICO</w:t>
      </w:r>
      <w:r>
        <w:t xml:space="preserve">, up more than 80 bps year over year at the midpoint. That is a demanding but achievable setup if revenue remains healthy.</w:t>
      </w:r>
    </w:p>
    <w:p>
      <w:pPr>
        <w:pStyle w:val="BodyText"/>
      </w:pPr>
      <w:r>
        <w:t xml:space="preserve">Key markers:</w:t>
      </w:r>
    </w:p>
    <w:p>
      <w:pPr>
        <w:pStyle w:val="Compact"/>
        <w:numPr>
          <w:ilvl w:val="0"/>
          <w:numId w:val="1004"/>
        </w:numPr>
      </w:pPr>
      <w:r>
        <w:t xml:space="preserve">delivery versus the 2Q EBITDA midpoint of</w:t>
      </w:r>
      <w:r>
        <w:t xml:space="preserve"> </w:t>
      </w:r>
      <w:r>
        <w:rPr>
          <w:b/>
          <w:bCs/>
        </w:rPr>
        <w:t xml:space="preserve">$545.5M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confirmation of the 75-bps full-year ex-FICO margin-expansion target;</w:t>
      </w:r>
    </w:p>
    <w:p>
      <w:pPr>
        <w:pStyle w:val="Compact"/>
        <w:numPr>
          <w:ilvl w:val="0"/>
          <w:numId w:val="1004"/>
        </w:numPr>
      </w:pPr>
      <w:r>
        <w:t xml:space="preserve">evidence that AI productivity is translating from messaging into measurable operating results.</w:t>
      </w:r>
    </w:p>
    <w:p>
      <w:pPr>
        <w:pStyle w:val="FirstParagraph"/>
      </w:pPr>
      <w:r>
        <w:t xml:space="preserve">Management has identified roughly</w:t>
      </w:r>
      <w:r>
        <w:t xml:space="preserve"> </w:t>
      </w:r>
      <w:r>
        <w:rPr>
          <w:b/>
          <w:bCs/>
        </w:rPr>
        <w:t xml:space="preserve">$75M of operations productivity across 2026–27</w:t>
      </w:r>
      <w:r>
        <w:t xml:space="preserve">, initially concentrated in call centers, paper processing, and workflow automation. Investors will want concrete examples of savings realization rather than only longer-term AI opportunity language.</w:t>
      </w:r>
    </w:p>
    <w:p>
      <w:r>
        <w:pict>
          <v:rect style="width:0;height:1.5pt" o:hralign="center" o:hrstd="t" o:hr="t"/>
        </w:pict>
      </w:r>
    </w:p>
    <w:bookmarkEnd w:id="14"/>
    <w:bookmarkEnd w:id="15"/>
    <w:bookmarkStart w:id="17" w:name="Xcb0cc5f2e024c3169600a8e6ca4fc951ca35e63"/>
    <w:p>
      <w:pPr>
        <w:pStyle w:val="Heading2"/>
      </w:pPr>
      <w:r>
        <w:t xml:space="preserve">Guidance: likely the largest stock-moving variable</w:t>
      </w:r>
    </w:p>
    <w:p>
      <w:pPr>
        <w:pStyle w:val="FirstParagraph"/>
      </w:pPr>
      <w:r>
        <w:t xml:space="preserve">EFX maintained its full-year 2026 local-currency framework after 1Q despite substantially outperforming the quarter. Management cited uncertainty around interest rates, mortgage demand, inflation, and the broader macro environment.</w:t>
      </w:r>
    </w:p>
    <w:p>
      <w:pPr>
        <w:pStyle w:val="BodyText"/>
      </w:pPr>
      <w:r>
        <w:t xml:space="preserve">Current full-year guidance is: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Revenue:</w:t>
      </w:r>
      <w:r>
        <w:t xml:space="preserve"> </w:t>
      </w:r>
      <m:oMath>
        <m:r>
          <m:t>6.685</m:t>
        </m:r>
        <m:r>
          <m:t>B</m:t>
        </m:r>
        <m:r>
          <m:rPr>
            <m:sty m:val="p"/>
          </m:rPr>
          <m:t>–</m:t>
        </m:r>
      </m:oMath>
      <w:r>
        <w:t xml:space="preserve">6.805B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Adjusted EPS:</w:t>
      </w:r>
      <w:r>
        <w:t xml:space="preserve"> </w:t>
      </w:r>
      <m:oMath>
        <m:r>
          <m:t>8.34</m:t>
        </m:r>
        <m:r>
          <m:rPr>
            <m:sty m:val="p"/>
          </m:rPr>
          <m:t>–</m:t>
        </m:r>
      </m:oMath>
      <w:r>
        <w:t xml:space="preserve">8.74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Organic local-currency revenue growth:</w:t>
      </w:r>
      <w:r>
        <w:t xml:space="preserve"> </w:t>
      </w:r>
      <w:r>
        <w:t xml:space="preserve">9.0%–11.0%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Free cash flow:</w:t>
      </w:r>
      <w:r>
        <w:t xml:space="preserve"> </w:t>
      </w:r>
      <w:r>
        <w:t xml:space="preserve">more than $1B</w:t>
      </w:r>
    </w:p>
    <w:bookmarkStart w:id="16" w:name="potential-outcomes"/>
    <w:p>
      <w:pPr>
        <w:pStyle w:val="Heading3"/>
      </w:pPr>
      <w:r>
        <w:t xml:space="preserve">Potential outcomes</w:t>
      </w:r>
    </w:p>
    <w:p>
      <w:pPr>
        <w:pStyle w:val="FirstParagraph"/>
      </w:pPr>
      <w:r>
        <w:rPr>
          <w:b/>
          <w:bCs/>
        </w:rPr>
        <w:t xml:space="preserve">Bull case</w:t>
      </w:r>
    </w:p>
    <w:p>
      <w:pPr>
        <w:pStyle w:val="Compact"/>
        <w:numPr>
          <w:ilvl w:val="0"/>
          <w:numId w:val="1006"/>
        </w:numPr>
      </w:pPr>
      <w:r>
        <w:t xml:space="preserve">2Q revenue/EPS beat;</w:t>
      </w:r>
    </w:p>
    <w:p>
      <w:pPr>
        <w:pStyle w:val="Compact"/>
        <w:numPr>
          <w:ilvl w:val="0"/>
          <w:numId w:val="1006"/>
        </w:numPr>
      </w:pPr>
      <w:r>
        <w:t xml:space="preserve">mortgage activity and diversified-market volumes are at least stable;</w:t>
      </w:r>
    </w:p>
    <w:p>
      <w:pPr>
        <w:pStyle w:val="Compact"/>
        <w:numPr>
          <w:ilvl w:val="0"/>
          <w:numId w:val="1006"/>
        </w:numPr>
      </w:pPr>
      <w:r>
        <w:t xml:space="preserve">margin expansion exceeds expectations;</w:t>
      </w:r>
    </w:p>
    <w:p>
      <w:pPr>
        <w:pStyle w:val="Compact"/>
        <w:numPr>
          <w:ilvl w:val="0"/>
          <w:numId w:val="1006"/>
        </w:numPr>
      </w:pPr>
      <w:r>
        <w:t xml:space="preserve">full-year revenue/EPS guidance is raised, or management signals that the current range is increasingly conservative.</w:t>
      </w:r>
    </w:p>
    <w:p>
      <w:pPr>
        <w:pStyle w:val="FirstParagraph"/>
      </w:pPr>
      <w:r>
        <w:rPr>
          <w:b/>
          <w:bCs/>
        </w:rPr>
        <w:t xml:space="preserve">Base case</w:t>
      </w:r>
    </w:p>
    <w:p>
      <w:pPr>
        <w:pStyle w:val="Compact"/>
        <w:numPr>
          <w:ilvl w:val="0"/>
          <w:numId w:val="1007"/>
        </w:numPr>
      </w:pPr>
      <w:r>
        <w:t xml:space="preserve">Results land around the midpoint-to-high end of guidance;</w:t>
      </w:r>
    </w:p>
    <w:p>
      <w:pPr>
        <w:pStyle w:val="Compact"/>
        <w:numPr>
          <w:ilvl w:val="0"/>
          <w:numId w:val="1007"/>
        </w:numPr>
      </w:pPr>
      <w:r>
        <w:t xml:space="preserve">Government comparison is difficult as telegraphed;</w:t>
      </w:r>
    </w:p>
    <w:p>
      <w:pPr>
        <w:pStyle w:val="Compact"/>
        <w:numPr>
          <w:ilvl w:val="0"/>
          <w:numId w:val="1007"/>
        </w:numPr>
      </w:pPr>
      <w:r>
        <w:t xml:space="preserve">mortgage remains subdued but manageable;</w:t>
      </w:r>
    </w:p>
    <w:p>
      <w:pPr>
        <w:pStyle w:val="Compact"/>
        <w:numPr>
          <w:ilvl w:val="0"/>
          <w:numId w:val="1007"/>
        </w:numPr>
      </w:pPr>
      <w:r>
        <w:t xml:space="preserve">full-year guidance is maintained.</w:t>
      </w:r>
    </w:p>
    <w:p>
      <w:pPr>
        <w:pStyle w:val="FirstParagraph"/>
      </w:pPr>
      <w:r>
        <w:rPr>
          <w:b/>
          <w:bCs/>
        </w:rPr>
        <w:t xml:space="preserve">Bear case</w:t>
      </w:r>
    </w:p>
    <w:p>
      <w:pPr>
        <w:pStyle w:val="Compact"/>
        <w:numPr>
          <w:ilvl w:val="0"/>
          <w:numId w:val="1008"/>
        </w:numPr>
      </w:pPr>
      <w:r>
        <w:t xml:space="preserve">Mortgage slowdown is worse than guided;</w:t>
      </w:r>
    </w:p>
    <w:p>
      <w:pPr>
        <w:pStyle w:val="Compact"/>
        <w:numPr>
          <w:ilvl w:val="0"/>
          <w:numId w:val="1008"/>
        </w:numPr>
      </w:pPr>
      <w:r>
        <w:t xml:space="preserve">USIS diversified markets remain weak;</w:t>
      </w:r>
    </w:p>
    <w:p>
      <w:pPr>
        <w:pStyle w:val="Compact"/>
        <w:numPr>
          <w:ilvl w:val="0"/>
          <w:numId w:val="1008"/>
        </w:numPr>
      </w:pPr>
      <w:r>
        <w:t xml:space="preserve">Workforce Solutions Government softness extends beyond a difficult comparison;</w:t>
      </w:r>
    </w:p>
    <w:p>
      <w:pPr>
        <w:pStyle w:val="Compact"/>
        <w:numPr>
          <w:ilvl w:val="0"/>
          <w:numId w:val="1008"/>
        </w:numPr>
      </w:pPr>
      <w:r>
        <w:t xml:space="preserve">management lowers the full-year framework or reduces its margin-expansion expectation.</w:t>
      </w:r>
    </w:p>
    <w:p>
      <w:pPr>
        <w:pStyle w:val="FirstParagraph"/>
      </w:pPr>
      <w:r>
        <w:t xml:space="preserve">Given that EFX declined to raise full-year guidance after a strong 1Q, a</w:t>
      </w:r>
      <w:r>
        <w:t xml:space="preserve"> </w:t>
      </w:r>
      <w:r>
        <w:rPr>
          <w:b/>
          <w:bCs/>
        </w:rPr>
        <w:t xml:space="preserve">mere reiteration may be viewed as acceptable but not necessarily enough to drive upside</w:t>
      </w:r>
      <w:r>
        <w:t xml:space="preserve"> </w:t>
      </w:r>
      <w:r>
        <w:t xml:space="preserve">if investors expect a second consecutive beat.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502b744c6a43cbefafcda8aff499942e1b24851"/>
    <w:p>
      <w:pPr>
        <w:pStyle w:val="Heading2"/>
      </w:pPr>
      <w:r>
        <w:t xml:space="preserve">VantageScore: upside option, but probably not a 2Q26 driver</w:t>
      </w:r>
    </w:p>
    <w:p>
      <w:pPr>
        <w:pStyle w:val="FirstParagraph"/>
      </w:pPr>
      <w:r>
        <w:t xml:space="preserve">A potential longer-term upside is a mortgage-market shift from FICO to VantageScore. Equifax currently assumes</w:t>
      </w:r>
      <w:r>
        <w:t xml:space="preserve"> </w:t>
      </w:r>
      <w:r>
        <w:rPr>
          <w:b/>
          <w:bCs/>
        </w:rPr>
        <w:t xml:space="preserve">no VantageScore conversion in 2026</w:t>
      </w:r>
      <w:r>
        <w:t xml:space="preserve"> </w:t>
      </w:r>
      <w:r>
        <w:t xml:space="preserve">in its guidance. Because FICO score revenue is largely a zero-margin pass-through, a shift to VantageScore would lower reported revenue per score but increase EFX’s margin dollars.</w:t>
      </w:r>
    </w:p>
    <w:p>
      <w:pPr>
        <w:pStyle w:val="BodyText"/>
      </w:pPr>
      <w:r>
        <w:t xml:space="preserve">Management has quantified roughly</w:t>
      </w:r>
      <w:r>
        <w:t xml:space="preserve"> </w:t>
      </w:r>
      <w:r>
        <w:rPr>
          <w:b/>
          <w:bCs/>
        </w:rPr>
        <w:t xml:space="preserve">$35M of annual margin upside</w:t>
      </w:r>
      <w:r>
        <w:t xml:space="preserve"> </w:t>
      </w:r>
      <w:r>
        <w:t xml:space="preserve">at current mortgage activity under full VantageScore conversion. The timing remains uncertain and depends on agency and market implementation, so it should be treated as an option value—not a core 2Q earnings assumption.</w:t>
      </w:r>
    </w:p>
    <w:p>
      <w:pPr>
        <w:pStyle w:val="BodyText"/>
      </w:pPr>
      <w:r>
        <w:t xml:space="preserve">The key call question is whether there has been tangible progress in mortgage-industry adoption or regulatory readiness, rather than another broad statement that the market is “getting closer.”</w:t>
      </w:r>
    </w:p>
    <w:p>
      <w:r>
        <w:pict>
          <v:rect style="width:0;height:1.5pt" o:hralign="center" o:hrstd="t" o:hr="t"/>
        </w:pict>
      </w:r>
    </w:p>
    <w:bookmarkEnd w:id="18"/>
    <w:bookmarkStart w:id="19" w:name="X06baf79d2f30a2cfdd92175728fd1a5e8309700"/>
    <w:p>
      <w:pPr>
        <w:pStyle w:val="Heading2"/>
      </w:pPr>
      <w:r>
        <w:t xml:space="preserve">Circulo de Crédito acquisition: strategically positive, near-term secondary</w:t>
      </w:r>
    </w:p>
    <w:p>
      <w:pPr>
        <w:pStyle w:val="FirstParagraph"/>
      </w:pPr>
      <w:r>
        <w:t xml:space="preserve">On July 7, Equifax announced plans to acquire Mexico’s Círculo de Crédito for</w:t>
      </w:r>
      <w:r>
        <w:t xml:space="preserve"> </w:t>
      </w:r>
      <w:r>
        <w:rPr>
          <w:b/>
          <w:bCs/>
        </w:rPr>
        <w:t xml:space="preserve">$750M enterprise value</w:t>
      </w:r>
      <w:r>
        <w:t xml:space="preserve">, with closing expected in</w:t>
      </w:r>
      <w:r>
        <w:t xml:space="preserve"> </w:t>
      </w:r>
      <w:r>
        <w:rPr>
          <w:b/>
          <w:bCs/>
        </w:rPr>
        <w:t xml:space="preserve">4Q26</w:t>
      </w:r>
      <w:r>
        <w:t xml:space="preserve">, subject to approvals.</w:t>
      </w:r>
    </w:p>
    <w:p>
      <w:pPr>
        <w:pStyle w:val="BodyText"/>
      </w:pPr>
      <w:r>
        <w:t xml:space="preserve">The target brings:</w:t>
      </w:r>
    </w:p>
    <w:p>
      <w:pPr>
        <w:pStyle w:val="Compact"/>
        <w:numPr>
          <w:ilvl w:val="0"/>
          <w:numId w:val="1009"/>
        </w:numPr>
      </w:pPr>
      <w:r>
        <w:t xml:space="preserve">roughly</w:t>
      </w:r>
      <w:r>
        <w:t xml:space="preserve"> </w:t>
      </w:r>
      <w:r>
        <w:rPr>
          <w:b/>
          <w:bCs/>
        </w:rPr>
        <w:t xml:space="preserve">$134M of trailing-12-month revenue</w:t>
      </w:r>
      <w:r>
        <w:t xml:space="preserve"> </w:t>
      </w:r>
      <w:r>
        <w:t xml:space="preserve">through June 2026;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31% trailing revenue growth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approximately</w:t>
      </w:r>
      <w:r>
        <w:t xml:space="preserve"> </w:t>
      </w:r>
      <w:r>
        <w:rPr>
          <w:b/>
          <w:bCs/>
        </w:rPr>
        <w:t xml:space="preserve">46% adjusted EBITDA margins</w:t>
      </w:r>
      <w:r>
        <w:t xml:space="preserve">;</w:t>
      </w:r>
    </w:p>
    <w:p>
      <w:pPr>
        <w:pStyle w:val="Compact"/>
        <w:numPr>
          <w:ilvl w:val="0"/>
          <w:numId w:val="1009"/>
        </w:numPr>
      </w:pPr>
      <w:r>
        <w:t xml:space="preserve">a differentiated alternative-data position across Mexican fintechs, retailers, telcos, and commercial-credit markets.</w:t>
      </w:r>
    </w:p>
    <w:p>
      <w:pPr>
        <w:pStyle w:val="FirstParagraph"/>
      </w:pPr>
      <w:r>
        <w:t xml:space="preserve">The transaction is expected to be accretive to adjusted EPS in the first full year of ownership. It should not materially affect 2Q results, but investors may scrutinize:</w:t>
      </w:r>
    </w:p>
    <w:p>
      <w:pPr>
        <w:pStyle w:val="Compact"/>
        <w:numPr>
          <w:ilvl w:val="0"/>
          <w:numId w:val="1010"/>
        </w:numPr>
      </w:pPr>
      <w:r>
        <w:t xml:space="preserve">regulatory-approval timing;</w:t>
      </w:r>
    </w:p>
    <w:p>
      <w:pPr>
        <w:pStyle w:val="Compact"/>
        <w:numPr>
          <w:ilvl w:val="0"/>
          <w:numId w:val="1010"/>
        </w:numPr>
      </w:pPr>
      <w:r>
        <w:t xml:space="preserve">purchase accounting and financing impacts;</w:t>
      </w:r>
    </w:p>
    <w:p>
      <w:pPr>
        <w:pStyle w:val="Compact"/>
        <w:numPr>
          <w:ilvl w:val="0"/>
          <w:numId w:val="1010"/>
        </w:numPr>
      </w:pPr>
      <w:r>
        <w:t xml:space="preserve">the pace of buybacks following $560M of repurchases year to date through June 30; and</w:t>
      </w:r>
    </w:p>
    <w:p>
      <w:pPr>
        <w:pStyle w:val="Compact"/>
        <w:numPr>
          <w:ilvl w:val="0"/>
          <w:numId w:val="1010"/>
        </w:numPr>
      </w:pPr>
      <w:r>
        <w:t xml:space="preserve">whether management changes its 2026 capital-allocation outlook.</w:t>
      </w:r>
    </w:p>
    <w:p>
      <w:pPr>
        <w:pStyle w:val="FirstParagraph"/>
      </w:pPr>
      <w:r>
        <w:t xml:space="preserve">Strategically, the deal supports EFX’s International growth profile and data-moat narrative. Financially, it adds execution and closing risk, but the target’s growth and margin profile appear attractive.</w:t>
      </w:r>
    </w:p>
    <w:p>
      <w:r>
        <w:pict>
          <v:rect style="width:0;height:1.5pt" o:hralign="center" o:hrstd="t" o:hr="t"/>
        </w:pict>
      </w:r>
    </w:p>
    <w:bookmarkEnd w:id="19"/>
    <w:bookmarkStart w:id="20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The setup is constructive, but expectations are not low. The highest-quality outcome is not simply a headline beat—it is a result showing that Equifax can sustain: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high-single-digit organic growth excluding FICO effects;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continued Workforce Solutions verification momentum;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broader USIS share gains from proprietary income-and-employment data;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ex-FICO margin expansion; and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confidence in the full-year guide despite a softer mortgage backdrop.</w:t>
      </w:r>
    </w:p>
    <w:p>
      <w:pPr>
        <w:pStyle w:val="FirstParagraph"/>
      </w:pPr>
      <w:r>
        <w:t xml:space="preserve">The most important items on the call will be the trajectory of mortgage demand, Workforce Solutions Government timing, USIS diversified-market activity, AI productivity realization, and any change in the full-year outlook.</w:t>
      </w:r>
    </w:p>
    <w:p>
      <w:pPr>
        <w:pStyle w:val="BodyText"/>
      </w:pPr>
      <w:r>
        <w:rPr>
          <w:i/>
          <w:iCs/>
        </w:rPr>
        <w:t xml:space="preserve">Sources reviewed: Equifax 1Q26 earnings release and earnings-call transcript (April 21, 2026); Equifax William Blair conference transcript (June 3, 2026); Equifax Círculo de Crédito acquisition call transcript (July 7, 2026); historical EFX closing-price data through July 20, 2026.</w:t>
      </w:r>
    </w:p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2026-07-21T00:32:17Z</dcterms:created>
  <dcterms:modified xsi:type="dcterms:W3CDTF">2026-07-21T00:32:17Z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