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Equifax Inc. (EFX)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Equifax Inc.</w:t>
            </w:r>
          </w:p>
        </w:tc>
        <w:tc>
          <w:tcPr>
            <w:tcW w:type="dxa" w:w="2160"/>
          </w:tcPr>
          <w:p>
            <w:r>
              <w:rPr>
                <w:rFonts w:ascii="Calibri" w:hAnsi="Calibri"/>
                <w:b/>
                <w:sz w:val="22"/>
              </w:rPr>
              <w:t>Ticker</w:t>
            </w:r>
          </w:p>
        </w:tc>
        <w:tc>
          <w:tcPr>
            <w:tcW w:type="dxa" w:w="2160"/>
          </w:tcPr>
          <w:p>
            <w:r>
              <w:rPr>
                <w:rFonts w:ascii="Calibri" w:hAnsi="Calibri"/>
                <w:sz w:val="22"/>
              </w:rPr>
              <w:t>EFX (NYSE)</w:t>
            </w:r>
          </w:p>
        </w:tc>
      </w:tr>
      <w:tr>
        <w:tc>
          <w:tcPr>
            <w:tcW w:type="dxa" w:w="2160"/>
          </w:tcPr>
          <w:p>
            <w:r>
              <w:rPr>
                <w:rFonts w:ascii="Calibri" w:hAnsi="Calibri"/>
                <w:b/>
                <w:sz w:val="22"/>
              </w:rPr>
              <w:t>Reporting Period</w:t>
            </w:r>
          </w:p>
        </w:tc>
        <w:tc>
          <w:tcPr>
            <w:tcW w:type="dxa" w:w="2160"/>
          </w:tcPr>
          <w:p>
            <w:r>
              <w:rPr>
                <w:rFonts w:ascii="Calibri" w:hAnsi="Calibri"/>
                <w:sz w:val="22"/>
              </w:rPr>
              <w:t>Q2 2026 (ending June 30, 2026)</w:t>
            </w:r>
          </w:p>
        </w:tc>
        <w:tc>
          <w:tcPr>
            <w:tcW w:type="dxa" w:w="2160"/>
          </w:tcPr>
          <w:p>
            <w:r>
              <w:rPr>
                <w:rFonts w:ascii="Calibri" w:hAnsi="Calibri"/>
                <w:b/>
                <w:sz w:val="22"/>
              </w:rPr>
              <w:t>Expected Earnings Date</w:t>
            </w:r>
          </w:p>
        </w:tc>
        <w:tc>
          <w:tcPr>
            <w:tcW w:type="dxa" w:w="2160"/>
          </w:tcPr>
          <w:p>
            <w:r>
              <w:rPr>
                <w:rFonts w:ascii="Calibri" w:hAnsi="Calibri"/>
                <w:sz w:val="22"/>
              </w:rPr>
              <w:t>Late July 2026</w:t>
            </w:r>
          </w:p>
        </w:tc>
      </w:tr>
      <w:tr>
        <w:tc>
          <w:tcPr>
            <w:tcW w:type="dxa" w:w="2160"/>
          </w:tcPr>
          <w:p>
            <w:r>
              <w:rPr>
                <w:rFonts w:ascii="Calibri" w:hAnsi="Calibri"/>
                <w:b/>
                <w:sz w:val="22"/>
              </w:rPr>
              <w:t>Prepared Date</w:t>
            </w:r>
          </w:p>
        </w:tc>
        <w:tc>
          <w:tcPr>
            <w:tcW w:type="dxa" w:w="2160"/>
          </w:tcPr>
          <w:p>
            <w:r>
              <w:rPr>
                <w:rFonts w:ascii="Calibri" w:hAnsi="Calibri"/>
                <w:sz w:val="22"/>
              </w:rPr>
              <w:t>July 20, 2026</w:t>
            </w:r>
          </w:p>
        </w:tc>
        <w:tc>
          <w:tcPr>
            <w:tcW w:type="dxa" w:w="2160"/>
          </w:tcPr>
          <w:p>
            <w:r>
              <w:rPr>
                <w:rFonts w:ascii="Calibri" w:hAnsi="Calibri"/>
                <w:b/>
                <w:sz w:val="22"/>
              </w:rPr>
              <w:t>Sector</w:t>
            </w:r>
          </w:p>
        </w:tc>
        <w:tc>
          <w:tcPr>
            <w:tcW w:type="dxa" w:w="2160"/>
          </w:tcPr>
          <w:p>
            <w:r>
              <w:rPr>
                <w:rFonts w:ascii="Calibri" w:hAnsi="Calibri"/>
                <w:sz w:val="22"/>
              </w:rPr>
              <w:t>Data &amp; Analytics / Credit Bureaus</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sits near the midpoint of management's own guidance, the bar is not stretched, and the biggest swing factor is whether mortgage market volumes held up through June after the Iran-conflict-driven rate spike that dampened March and April activity.</w:t>
      </w:r>
    </w:p>
    <w:p>
      <w:r>
        <w:rPr>
          <w:rFonts w:ascii="Calibri" w:hAnsi="Calibri"/>
          <w:color w:val="525866"/>
          <w:sz w:val="22"/>
        </w:rPr>
        <w:t xml:space="preserve">Heading into Q2 2026, EFX's bar looks achievable but not easy. Management guided Q2 revenue to $1.680–$1.710B (midpoint $1.695B) and adjusted EPS to $2.15–$2.25 (midpoint $2.20), with consensus sitting at $1.699B and $2.21 respectively — essentially pinned to the midpoint, leaving little cushion for a miss but also no inflated expectations to clear. The Q1 2026 print was a blowout ($37M above the revenue guidance midpoint, driven by a surge in mortgage activity in January and February), but management deliberately held full-year guidance citing Iran-conflict macro uncertainty, and the stock's muted post-earnings reaction (+modest open) suggests the market is still in a "show me" posture on whether the mortgage tailwind is durable. Estimate revisions since Q1 earnings have been largely flat-to-slightly-up, consistent with management's guidance-hold posture, meaning there is no meaningful revision cushion or headwind embedded in the number. The stock has de-rated sharply since the Q1 print — from ~$192 on earnings day to ~$180 today — underperforming both the S&amp;P 500 and peer SPGI over the same window, which means the stock is not pricing in a beat and any positive surprise on mortgage volumes or EWS Government could drive a meaningful re-rating. The key wildcard is the </w:t>
      </w:r>
      <w:r>
        <w:rPr>
          <w:rFonts w:ascii="Calibri" w:hAnsi="Calibri"/>
          <w:b/>
          <w:color w:val="525866"/>
          <w:sz w:val="22"/>
        </w:rPr>
        <w:t>pace of VantageScore lender conversion</w:t>
      </w:r>
      <w:r>
        <w:rPr>
          <w:rFonts w:ascii="Calibri" w:hAnsi="Calibri"/>
          <w:color w:val="525866"/>
          <w:sz w:val="22"/>
        </w:rPr>
        <w:t>: with FHFA/HUD formally activating VantageScore 4.0 on April 22, 2026 and over 240 lenders now ingesting the free score, any commentary on conversion timelines or early adoption economics could be the single biggest stock-moving data point on the call.</w:t>
      </w:r>
    </w:p>
    <w:p>
      <w:r>
        <w:rPr>
          <w:rFonts w:ascii="Calibri" w:hAnsi="Calibri"/>
          <w:b/>
          <w:color w:val="525866"/>
          <w:sz w:val="22"/>
        </w:rPr>
        <w:t xml:space="preserve">Bar: </w:t>
      </w:r>
      <w:r>
        <w:rPr>
          <w:rFonts w:ascii="Calibri" w:hAnsi="Calibri"/>
          <w:color w:val="525866"/>
          <w:sz w:val="22"/>
        </w:rPr>
        <w:t>Consensus revenue of $1.699B sits just above the $1.695B guidance midpoint (+0.2%), a negligible delta that implies the street is not pricing in outperformance. The bar is neither high nor low — it is essentially management's own midpoint, which historically EFX has beaten when mortgage volumes cooperate.</w:t>
      </w:r>
    </w:p>
    <w:p>
      <w:r>
        <w:rPr>
          <w:rFonts w:ascii="Calibri" w:hAnsi="Calibri"/>
          <w:b/>
          <w:color w:val="525866"/>
          <w:sz w:val="22"/>
        </w:rPr>
        <w:t xml:space="preserve">Guidance / Tone: </w:t>
      </w:r>
      <w:r>
        <w:rPr>
          <w:rFonts w:ascii="Calibri" w:hAnsi="Calibri"/>
          <w:color w:val="525866"/>
          <w:sz w:val="22"/>
        </w:rPr>
        <w:t>Management's posture since Q1 earnings has been cautious-but-constructive. They held full-year constant-currency revenue guidance unchanged (only raising the reported midpoint by $25M for FX tailwinds) and raised full-year adjusted EPS by $0.04 to $8.54. The tone reflects confidence in the underlying business (ex-FICO growth at the top of the 7–10% long-term framework in Q1) but deliberate conservatism on the macro, particularly around mortgage rate volatility.</w:t>
      </w:r>
    </w:p>
    <w:p>
      <w:r>
        <w:rPr>
          <w:rFonts w:ascii="Calibri" w:hAnsi="Calibri"/>
          <w:b/>
          <w:color w:val="525866"/>
          <w:sz w:val="22"/>
        </w:rPr>
        <w:t xml:space="preserve">Estimate Trajectory: </w:t>
      </w:r>
      <w:r>
        <w:rPr>
          <w:rFonts w:ascii="Calibri" w:hAnsi="Calibri"/>
          <w:color w:val="525866"/>
          <w:sz w:val="22"/>
        </w:rPr>
        <w:t>Revisions have been flat-to-slightly-positive since the Q1 print, tracking management's guidance hold. The FY2026 consensus EPS of $8.64 sits modestly above the raised guidance midpoint of $8.54, suggesting the street is embedding a small beat-and-raise expectation for the back half. This is a mild tailwind, not a headwind.</w:t>
      </w:r>
    </w:p>
    <w:p>
      <w:r>
        <w:rPr>
          <w:rFonts w:ascii="Calibri" w:hAnsi="Calibri"/>
          <w:b/>
          <w:color w:val="525866"/>
          <w:sz w:val="22"/>
        </w:rPr>
        <w:t xml:space="preserve">Stock Setup: </w:t>
      </w:r>
      <w:r>
        <w:rPr>
          <w:rFonts w:ascii="Calibri" w:hAnsi="Calibri"/>
          <w:color w:val="525866"/>
          <w:sz w:val="22"/>
        </w:rPr>
        <w:t>EFX has fallen ~6.4% from the Q1 earnings close of $192.42 to ~$180 today, while the S&amp;P 500 is up ~5.4% over the same period — a ~12 percentage point underperformance. The stock is trading at a meaningful discount to its post-cloud-transformation multiple, and the de-rating appears driven by macro mortgage uncertainty rather than fundamental deterioration. This creates an asymmetric setup: a clean beat with positive VantageScore commentary could close a significant portion of that gap.</w:t>
      </w:r>
    </w:p>
    <w:p>
      <w:r>
        <w:rPr>
          <w:rFonts w:ascii="Calibri" w:hAnsi="Calibri"/>
          <w:b/>
          <w:color w:val="525866"/>
          <w:sz w:val="22"/>
        </w:rPr>
        <w:t xml:space="preserve">Wildcard: </w:t>
      </w:r>
      <w:r>
        <w:rPr>
          <w:rFonts w:ascii="Calibri" w:hAnsi="Calibri"/>
          <w:color w:val="525866"/>
          <w:sz w:val="22"/>
        </w:rPr>
        <w:t>The July 7 announcement of the $750M acquisition of Círculo de Crédito (Mexico's fastest-growing credit bureau, $134M LTM revenue, 31% growth) adds a new variable. While accretive to EPS in year one and strategically sound, it will consume ~$825M of capital and could prompt questions about leverage and M&amp;A integration capacity heading into a mortgage market recovery. Management's framing of this deal on the Q2 call will be closely watched.</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pinned to the guidance midpoint across all major KPIs, making this a low-bar-but-no-cushion setup. </w:t>
      </w:r>
      <w:r>
        <w:rPr>
          <w:rFonts w:ascii="Calibri" w:hAnsi="Calibri"/>
          <w:b/>
          <w:color w:val="525866"/>
          <w:sz w:val="22"/>
        </w:rPr>
        <w:t>Revenue ex-FICO and EBITDA margin ex-FICO are the bigger swing factors</w:t>
      </w:r>
      <w:r>
        <w:rPr>
          <w:rFonts w:ascii="Calibri" w:hAnsi="Calibri"/>
          <w:color w:val="525866"/>
          <w:sz w:val="22"/>
        </w:rPr>
        <w:t xml:space="preserve"> — mortgage volume trajectory through June will determine whether EFX can replicate Q1's above-framework performance or merely meets the guided midpoint.</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(Midpoint)</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($B)</w:t>
            </w:r>
          </w:p>
        </w:tc>
        <w:tc>
          <w:tcPr>
            <w:tcW w:type="dxa" w:w="1234"/>
          </w:tcPr>
          <w:p>
            <w:r>
              <w:rPr>
                <w:rFonts w:ascii="Calibri" w:hAnsi="Calibri"/>
                <w:sz w:val="22"/>
              </w:rPr>
              <w:t>$1.649B</w:t>
            </w:r>
          </w:p>
        </w:tc>
        <w:tc>
          <w:tcPr>
            <w:tcW w:type="dxa" w:w="1234"/>
          </w:tcPr>
          <w:p>
            <w:r>
              <w:rPr>
                <w:rFonts w:ascii="Calibri" w:hAnsi="Calibri"/>
                <w:sz w:val="22"/>
              </w:rPr>
              <w:t>$1.537B</w:t>
            </w:r>
          </w:p>
        </w:tc>
        <w:tc>
          <w:tcPr>
            <w:tcW w:type="dxa" w:w="1234"/>
          </w:tcPr>
          <w:p>
            <w:r>
              <w:rPr>
                <w:rFonts w:ascii="Calibri" w:hAnsi="Calibri"/>
                <w:sz w:val="22"/>
              </w:rPr>
              <w:t>$1.699B</w:t>
            </w:r>
          </w:p>
        </w:tc>
        <w:tc>
          <w:tcPr>
            <w:tcW w:type="dxa" w:w="1234"/>
          </w:tcPr>
          <w:p>
            <w:r>
              <w:rPr>
                <w:rFonts w:ascii="Calibri" w:hAnsi="Calibri"/>
                <w:sz w:val="22"/>
              </w:rPr>
              <w:t>+10.5%</w:t>
            </w:r>
          </w:p>
        </w:tc>
        <w:tc>
          <w:tcPr>
            <w:tcW w:type="dxa" w:w="1234"/>
          </w:tcPr>
          <w:p>
            <w:r>
              <w:rPr>
                <w:rFonts w:ascii="Calibri" w:hAnsi="Calibri"/>
                <w:sz w:val="22"/>
              </w:rPr>
              <w:t>$1.695B</w:t>
            </w:r>
          </w:p>
        </w:tc>
        <w:tc>
          <w:tcPr>
            <w:tcW w:type="dxa" w:w="1234"/>
          </w:tcPr>
          <w:p>
            <w:r>
              <w:rPr>
                <w:rFonts w:ascii="Calibri" w:hAnsi="Calibri"/>
                <w:sz w:val="22"/>
              </w:rPr>
              <w:t>+0.2%</w:t>
            </w:r>
          </w:p>
        </w:tc>
      </w:tr>
      <w:tr>
        <w:tc>
          <w:tcPr>
            <w:tcW w:type="dxa" w:w="1234"/>
          </w:tcPr>
          <w:p>
            <w:r>
              <w:rPr>
                <w:rFonts w:ascii="Calibri" w:hAnsi="Calibri"/>
                <w:sz w:val="22"/>
              </w:rPr>
              <w:t>Adj. EPS - Diluted (Operating)</w:t>
            </w:r>
          </w:p>
        </w:tc>
        <w:tc>
          <w:tcPr>
            <w:tcW w:type="dxa" w:w="1234"/>
          </w:tcPr>
          <w:p>
            <w:r>
              <w:rPr>
                <w:rFonts w:ascii="Calibri" w:hAnsi="Calibri"/>
                <w:sz w:val="22"/>
              </w:rPr>
              <w:t>$1.86</w:t>
            </w:r>
          </w:p>
        </w:tc>
        <w:tc>
          <w:tcPr>
            <w:tcW w:type="dxa" w:w="1234"/>
          </w:tcPr>
          <w:p>
            <w:r>
              <w:rPr>
                <w:rFonts w:ascii="Calibri" w:hAnsi="Calibri"/>
                <w:sz w:val="22"/>
              </w:rPr>
              <w:t>$2.00</w:t>
            </w:r>
          </w:p>
        </w:tc>
        <w:tc>
          <w:tcPr>
            <w:tcW w:type="dxa" w:w="1234"/>
          </w:tcPr>
          <w:p>
            <w:r>
              <w:rPr>
                <w:rFonts w:ascii="Calibri" w:hAnsi="Calibri"/>
                <w:sz w:val="22"/>
              </w:rPr>
              <w:t>$2.21</w:t>
            </w:r>
          </w:p>
        </w:tc>
        <w:tc>
          <w:tcPr>
            <w:tcW w:type="dxa" w:w="1234"/>
          </w:tcPr>
          <w:p>
            <w:r>
              <w:rPr>
                <w:rFonts w:ascii="Calibri" w:hAnsi="Calibri"/>
                <w:sz w:val="22"/>
              </w:rPr>
              <w:t>+10.5%</w:t>
            </w:r>
          </w:p>
        </w:tc>
        <w:tc>
          <w:tcPr>
            <w:tcW w:type="dxa" w:w="1234"/>
          </w:tcPr>
          <w:p>
            <w:r>
              <w:rPr>
                <w:rFonts w:ascii="Calibri" w:hAnsi="Calibri"/>
                <w:sz w:val="22"/>
              </w:rPr>
              <w:t>$2.20</w:t>
            </w:r>
          </w:p>
        </w:tc>
        <w:tc>
          <w:tcPr>
            <w:tcW w:type="dxa" w:w="1234"/>
          </w:tcPr>
          <w:p>
            <w:r>
              <w:rPr>
                <w:rFonts w:ascii="Calibri" w:hAnsi="Calibri"/>
                <w:sz w:val="22"/>
              </w:rPr>
              <w:t>+0.5%</w:t>
            </w:r>
          </w:p>
        </w:tc>
      </w:tr>
      <w:tr>
        <w:tc>
          <w:tcPr>
            <w:tcW w:type="dxa" w:w="1234"/>
          </w:tcPr>
          <w:p>
            <w:r>
              <w:rPr>
                <w:rFonts w:ascii="Calibri" w:hAnsi="Calibri"/>
                <w:sz w:val="22"/>
              </w:rPr>
              <w:t>EBITDA Margin (%)</w:t>
            </w:r>
          </w:p>
        </w:tc>
        <w:tc>
          <w:tcPr>
            <w:tcW w:type="dxa" w:w="1234"/>
          </w:tcPr>
          <w:p>
            <w:r>
              <w:rPr>
                <w:rFonts w:ascii="Calibri" w:hAnsi="Calibri"/>
                <w:sz w:val="22"/>
              </w:rPr>
              <w:t>29.0%</w:t>
            </w:r>
          </w:p>
        </w:tc>
        <w:tc>
          <w:tcPr>
            <w:tcW w:type="dxa" w:w="1234"/>
          </w:tcPr>
          <w:p>
            <w:r>
              <w:rPr>
                <w:rFonts w:ascii="Calibri" w:hAnsi="Calibri"/>
                <w:sz w:val="22"/>
              </w:rPr>
              <w:t>32.5%</w:t>
            </w:r>
          </w:p>
        </w:tc>
        <w:tc>
          <w:tcPr>
            <w:tcW w:type="dxa" w:w="1234"/>
          </w:tcPr>
          <w:p>
            <w:r>
              <w:rPr>
                <w:rFonts w:ascii="Calibri" w:hAnsi="Calibri"/>
                <w:sz w:val="22"/>
              </w:rPr>
              <w:t>32.1%</w:t>
            </w:r>
          </w:p>
        </w:tc>
        <w:tc>
          <w:tcPr>
            <w:tcW w:type="dxa" w:w="1234"/>
          </w:tcPr>
          <w:p>
            <w:r>
              <w:rPr>
                <w:rFonts w:ascii="Calibri" w:hAnsi="Calibri"/>
                <w:sz w:val="22"/>
              </w:rPr>
              <w:t>-40 bps</w:t>
            </w:r>
          </w:p>
        </w:tc>
        <w:tc>
          <w:tcPr>
            <w:tcW w:type="dxa" w:w="1234"/>
          </w:tcPr>
          <w:p>
            <w:r>
              <w:rPr>
                <w:rFonts w:ascii="Calibri" w:hAnsi="Calibri"/>
                <w:sz w:val="22"/>
              </w:rPr>
              <w:t>32.2%</w:t>
            </w:r>
          </w:p>
        </w:tc>
        <w:tc>
          <w:tcPr>
            <w:tcW w:type="dxa" w:w="1234"/>
          </w:tcPr>
          <w:p>
            <w:r>
              <w:rPr>
                <w:rFonts w:ascii="Calibri" w:hAnsi="Calibri"/>
                <w:sz w:val="22"/>
              </w:rPr>
              <w:t>-10 bps</w:t>
            </w:r>
          </w:p>
        </w:tc>
      </w:tr>
      <w:tr>
        <w:tc>
          <w:tcPr>
            <w:tcW w:type="dxa" w:w="1234"/>
          </w:tcPr>
          <w:p>
            <w:r>
              <w:rPr>
                <w:rFonts w:ascii="Calibri" w:hAnsi="Calibri"/>
                <w:sz w:val="22"/>
              </w:rPr>
              <w:t>Workforce Solutions Revenue ($B)</w:t>
            </w:r>
          </w:p>
        </w:tc>
        <w:tc>
          <w:tcPr>
            <w:tcW w:type="dxa" w:w="1234"/>
          </w:tcPr>
          <w:p>
            <w:r>
              <w:rPr>
                <w:rFonts w:ascii="Calibri" w:hAnsi="Calibri"/>
                <w:sz w:val="22"/>
              </w:rPr>
              <w:t>$0.683B</w:t>
            </w:r>
          </w:p>
        </w:tc>
        <w:tc>
          <w:tcPr>
            <w:tcW w:type="dxa" w:w="1234"/>
          </w:tcPr>
          <w:p>
            <w:r>
              <w:rPr>
                <w:rFonts w:ascii="Calibri" w:hAnsi="Calibri"/>
                <w:sz w:val="22"/>
              </w:rPr>
              <w:t>$0.662B</w:t>
            </w:r>
          </w:p>
        </w:tc>
        <w:tc>
          <w:tcPr>
            <w:tcW w:type="dxa" w:w="1234"/>
          </w:tcPr>
          <w:p>
            <w:r>
              <w:rPr>
                <w:rFonts w:ascii="Calibri" w:hAnsi="Calibri"/>
                <w:sz w:val="22"/>
              </w:rPr>
              <w:t>$0.705B</w:t>
            </w:r>
          </w:p>
        </w:tc>
        <w:tc>
          <w:tcPr>
            <w:tcW w:type="dxa" w:w="1234"/>
          </w:tcPr>
          <w:p>
            <w:r>
              <w:rPr>
                <w:rFonts w:ascii="Calibri" w:hAnsi="Calibri"/>
                <w:sz w:val="22"/>
              </w:rPr>
              <w:t>+6.5%</w:t>
            </w:r>
          </w:p>
        </w:tc>
        <w:tc>
          <w:tcPr>
            <w:tcW w:type="dxa" w:w="1234"/>
          </w:tcPr>
          <w:p>
            <w:r>
              <w:rPr>
                <w:rFonts w:ascii="Calibri" w:hAnsi="Calibri"/>
                <w:sz w:val="22"/>
              </w:rPr>
              <w:t>High single-digit growth (FY)</w:t>
            </w:r>
          </w:p>
        </w:tc>
        <w:tc>
          <w:tcPr>
            <w:tcW w:type="dxa" w:w="1234"/>
          </w:tcPr>
          <w:p>
            <w:r>
              <w:rPr>
                <w:rFonts w:ascii="Calibri" w:hAnsi="Calibri"/>
                <w:sz w:val="22"/>
              </w:rPr>
              <w:t>N/A (FY guidance only)</w:t>
            </w:r>
          </w:p>
        </w:tc>
      </w:tr>
      <w:tr>
        <w:tc>
          <w:tcPr>
            <w:tcW w:type="dxa" w:w="1234"/>
          </w:tcPr>
          <w:p>
            <w:r>
              <w:rPr>
                <w:rFonts w:ascii="Calibri" w:hAnsi="Calibri"/>
                <w:sz w:val="22"/>
              </w:rPr>
              <w:t>USIS Revenue ($B)</w:t>
            </w:r>
          </w:p>
        </w:tc>
        <w:tc>
          <w:tcPr>
            <w:tcW w:type="dxa" w:w="1234"/>
          </w:tcPr>
          <w:p>
            <w:r>
              <w:rPr>
                <w:rFonts w:ascii="Calibri" w:hAnsi="Calibri"/>
                <w:sz w:val="22"/>
              </w:rPr>
              <w:t>$0.606B</w:t>
            </w:r>
          </w:p>
        </w:tc>
        <w:tc>
          <w:tcPr>
            <w:tcW w:type="dxa" w:w="1234"/>
          </w:tcPr>
          <w:p>
            <w:r>
              <w:rPr>
                <w:rFonts w:ascii="Calibri" w:hAnsi="Calibri"/>
                <w:sz w:val="22"/>
              </w:rPr>
              <w:t>$0.522B</w:t>
            </w:r>
          </w:p>
        </w:tc>
        <w:tc>
          <w:tcPr>
            <w:tcW w:type="dxa" w:w="1234"/>
          </w:tcPr>
          <w:p>
            <w:r>
              <w:rPr>
                <w:rFonts w:ascii="Calibri" w:hAnsi="Calibri"/>
                <w:sz w:val="22"/>
              </w:rPr>
              <w:t>$0.611B</w:t>
            </w:r>
          </w:p>
        </w:tc>
        <w:tc>
          <w:tcPr>
            <w:tcW w:type="dxa" w:w="1234"/>
          </w:tcPr>
          <w:p>
            <w:r>
              <w:rPr>
                <w:rFonts w:ascii="Calibri" w:hAnsi="Calibri"/>
                <w:sz w:val="22"/>
              </w:rPr>
              <w:t>+17.0%</w:t>
            </w:r>
          </w:p>
        </w:tc>
        <w:tc>
          <w:tcPr>
            <w:tcW w:type="dxa" w:w="1234"/>
          </w:tcPr>
          <w:p>
            <w:r>
              <w:rPr>
                <w:rFonts w:ascii="Calibri" w:hAnsi="Calibri"/>
                <w:sz w:val="22"/>
              </w:rPr>
              <w:t>U.S. mortgage &gt;+20% (incl. FICO)</w:t>
            </w:r>
          </w:p>
        </w:tc>
        <w:tc>
          <w:tcPr>
            <w:tcW w:type="dxa" w:w="1234"/>
          </w:tcPr>
          <w:p>
            <w:r>
              <w:rPr>
                <w:rFonts w:ascii="Calibri" w:hAnsi="Calibri"/>
                <w:sz w:val="22"/>
              </w:rPr>
              <w:t>N/A (segment guidance only)</w:t>
            </w:r>
          </w:p>
        </w:tc>
      </w:tr>
      <w:tr>
        <w:tc>
          <w:tcPr>
            <w:tcW w:type="dxa" w:w="1234"/>
          </w:tcPr>
          <w:p>
            <w:r>
              <w:rPr>
                <w:rFonts w:ascii="Calibri" w:hAnsi="Calibri"/>
                <w:sz w:val="22"/>
              </w:rPr>
              <w:t>International Revenue ($B)</w:t>
            </w:r>
          </w:p>
        </w:tc>
        <w:tc>
          <w:tcPr>
            <w:tcW w:type="dxa" w:w="1234"/>
          </w:tcPr>
          <w:p>
            <w:r>
              <w:rPr>
                <w:rFonts w:ascii="Calibri" w:hAnsi="Calibri"/>
                <w:sz w:val="22"/>
              </w:rPr>
              <w:t>$0.360B</w:t>
            </w:r>
          </w:p>
        </w:tc>
        <w:tc>
          <w:tcPr>
            <w:tcW w:type="dxa" w:w="1234"/>
          </w:tcPr>
          <w:p>
            <w:r>
              <w:rPr>
                <w:rFonts w:ascii="Calibri" w:hAnsi="Calibri"/>
                <w:sz w:val="22"/>
              </w:rPr>
              <w:t>$0.353B</w:t>
            </w:r>
          </w:p>
        </w:tc>
        <w:tc>
          <w:tcPr>
            <w:tcW w:type="dxa" w:w="1234"/>
          </w:tcPr>
          <w:p>
            <w:r>
              <w:rPr>
                <w:rFonts w:ascii="Calibri" w:hAnsi="Calibri"/>
                <w:sz w:val="22"/>
              </w:rPr>
              <w:t>$0.383B</w:t>
            </w:r>
          </w:p>
        </w:tc>
        <w:tc>
          <w:tcPr>
            <w:tcW w:type="dxa" w:w="1234"/>
          </w:tcPr>
          <w:p>
            <w:r>
              <w:rPr>
                <w:rFonts w:ascii="Calibri" w:hAnsi="Calibri"/>
                <w:sz w:val="22"/>
              </w:rPr>
              <w:t>+8.5%</w:t>
            </w:r>
          </w:p>
        </w:tc>
        <w:tc>
          <w:tcPr>
            <w:tcW w:type="dxa" w:w="1234"/>
          </w:tcPr>
          <w:p>
            <w:r>
              <w:rPr>
                <w:rFonts w:ascii="Calibri" w:hAnsi="Calibri"/>
                <w:sz w:val="22"/>
              </w:rPr>
              <w:t>Mid-single digits CC (Q2)</w:t>
            </w:r>
          </w:p>
        </w:tc>
        <w:tc>
          <w:tcPr>
            <w:tcW w:type="dxa" w:w="1234"/>
          </w:tcPr>
          <w:p>
            <w:r>
              <w:rPr>
                <w:rFonts w:ascii="Calibri" w:hAnsi="Calibri"/>
                <w:sz w:val="22"/>
              </w:rPr>
              <w:t>N/A (CC guidance only)</w:t>
            </w:r>
          </w:p>
        </w:tc>
      </w:tr>
      <w:tr>
        <w:tc>
          <w:tcPr>
            <w:tcW w:type="dxa" w:w="1234"/>
          </w:tcPr>
          <w:p>
            <w:r>
              <w:rPr>
                <w:rFonts w:ascii="Calibri" w:hAnsi="Calibri"/>
                <w:sz w:val="22"/>
              </w:rPr>
              <w:t>Free Cash Flow ($B)</w:t>
            </w:r>
          </w:p>
        </w:tc>
        <w:tc>
          <w:tcPr>
            <w:tcW w:type="dxa" w:w="1234"/>
          </w:tcPr>
          <w:p>
            <w:r>
              <w:rPr>
                <w:rFonts w:ascii="Calibri" w:hAnsi="Calibri"/>
                <w:sz w:val="22"/>
              </w:rPr>
              <w:t>$0.122B</w:t>
            </w:r>
          </w:p>
        </w:tc>
        <w:tc>
          <w:tcPr>
            <w:tcW w:type="dxa" w:w="1234"/>
          </w:tcPr>
          <w:p>
            <w:r>
              <w:rPr>
                <w:rFonts w:ascii="Calibri" w:hAnsi="Calibri"/>
                <w:sz w:val="22"/>
              </w:rPr>
              <w:t>$0.239B</w:t>
            </w:r>
          </w:p>
        </w:tc>
        <w:tc>
          <w:tcPr>
            <w:tcW w:type="dxa" w:w="1234"/>
          </w:tcPr>
          <w:p>
            <w:r>
              <w:rPr>
                <w:rFonts w:ascii="Calibri" w:hAnsi="Calibri"/>
                <w:sz w:val="22"/>
              </w:rPr>
              <w:t>$0.297B</w:t>
            </w:r>
          </w:p>
        </w:tc>
        <w:tc>
          <w:tcPr>
            <w:tcW w:type="dxa" w:w="1234"/>
          </w:tcPr>
          <w:p>
            <w:r>
              <w:rPr>
                <w:rFonts w:ascii="Calibri" w:hAnsi="Calibri"/>
                <w:sz w:val="22"/>
              </w:rPr>
              <w:t>+24.4%</w:t>
            </w:r>
          </w:p>
        </w:tc>
        <w:tc>
          <w:tcPr>
            <w:tcW w:type="dxa" w:w="1234"/>
          </w:tcPr>
          <w:p>
            <w:r>
              <w:rPr>
                <w:rFonts w:ascii="Calibri" w:hAnsi="Calibri"/>
                <w:sz w:val="22"/>
              </w:rPr>
              <w:t>&gt;$1.0B (FY 2026)</w:t>
            </w:r>
          </w:p>
        </w:tc>
        <w:tc>
          <w:tcPr>
            <w:tcW w:type="dxa" w:w="1234"/>
          </w:tcPr>
          <w:p>
            <w:r>
              <w:rPr>
                <w:rFonts w:ascii="Calibri" w:hAnsi="Calibri"/>
                <w:sz w:val="22"/>
              </w:rPr>
              <w:t>N/A (FY guidance only)</w:t>
            </w:r>
          </w:p>
        </w:tc>
      </w:tr>
    </w:tbl>
    <w:p>
      <w:r>
        <w:rPr>
          <w:rFonts w:ascii="Calibri" w:hAnsi="Calibri"/>
          <w:i/>
          <w:color w:val="525866"/>
          <w:sz w:val="22"/>
        </w:rPr>
        <w:t>Source: Visible Alpha Consensus and Actuals Data; EFX Q1 2026 Earnings Call (April 21, 2026). Note: Q1 2026 EBITDA margin of 29.0% reflects the FICO mortgage royalty pass-through drag (~200+ bps); ex-FICO EBITDA margin in Q1 2026 was ~31.0%, expanding ~75 bps YoY. Q2 2026 guidance ex-FICO EBITDA margin is 34.3–34.7% (midpoint ~34.5%), up &gt;80 bps vs. Q2 2025 on the same basis.</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$1.649B</w:t>
            </w:r>
          </w:p>
        </w:tc>
        <w:tc>
          <w:tcPr>
            <w:tcW w:type="dxa" w:w="1440"/>
          </w:tcPr>
          <w:p>
            <w:r>
              <w:rPr>
                <w:rFonts w:ascii="Calibri" w:hAnsi="Calibri"/>
                <w:sz w:val="22"/>
              </w:rPr>
              <w:t>$1.616B</w:t>
            </w:r>
          </w:p>
        </w:tc>
        <w:tc>
          <w:tcPr>
            <w:tcW w:type="dxa" w:w="1440"/>
          </w:tcPr>
          <w:p>
            <w:r>
              <w:rPr>
                <w:rFonts w:ascii="Calibri" w:hAnsi="Calibri"/>
                <w:b/>
                <w:color w:val="30A46C"/>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$1.86</w:t>
            </w:r>
          </w:p>
        </w:tc>
        <w:tc>
          <w:tcPr>
            <w:tcW w:type="dxa" w:w="1440"/>
          </w:tcPr>
          <w:p>
            <w:r>
              <w:rPr>
                <w:rFonts w:ascii="Calibri" w:hAnsi="Calibri"/>
                <w:sz w:val="22"/>
              </w:rPr>
              <w:t>$1.71</w:t>
            </w:r>
          </w:p>
        </w:tc>
        <w:tc>
          <w:tcPr>
            <w:tcW w:type="dxa" w:w="1440"/>
          </w:tcPr>
          <w:p>
            <w:r>
              <w:rPr>
                <w:rFonts w:ascii="Calibri" w:hAnsi="Calibri"/>
                <w:b/>
                <w:color w:val="30A46C"/>
                <w:sz w:val="22"/>
              </w:rPr>
              <w:t>+8.8%</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$1.551B</w:t>
            </w:r>
          </w:p>
        </w:tc>
        <w:tc>
          <w:tcPr>
            <w:tcW w:type="dxa" w:w="1440"/>
          </w:tcPr>
          <w:p>
            <w:r>
              <w:rPr>
                <w:rFonts w:ascii="Calibri" w:hAnsi="Calibri"/>
                <w:sz w:val="22"/>
              </w:rPr>
              <w:t>$1.530B</w:t>
            </w:r>
          </w:p>
        </w:tc>
        <w:tc>
          <w:tcPr>
            <w:tcW w:type="dxa" w:w="1440"/>
          </w:tcPr>
          <w:p>
            <w:r>
              <w:rPr>
                <w:rFonts w:ascii="Calibri" w:hAnsi="Calibri"/>
                <w:b/>
                <w:color w:val="30A46C"/>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$2.09</w:t>
            </w:r>
          </w:p>
        </w:tc>
        <w:tc>
          <w:tcPr>
            <w:tcW w:type="dxa" w:w="1440"/>
          </w:tcPr>
          <w:p>
            <w:r>
              <w:rPr>
                <w:rFonts w:ascii="Calibri" w:hAnsi="Calibri"/>
                <w:sz w:val="22"/>
              </w:rPr>
              <w:t>$2.07</w:t>
            </w:r>
          </w:p>
        </w:tc>
        <w:tc>
          <w:tcPr>
            <w:tcW w:type="dxa" w:w="1440"/>
          </w:tcPr>
          <w:p>
            <w:r>
              <w:rPr>
                <w:rFonts w:ascii="Calibri" w:hAnsi="Calibri"/>
                <w:b/>
                <w:color w:val="30A46C"/>
                <w:sz w:val="22"/>
              </w:rPr>
              <w:t>+0.9%</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$1.545B</w:t>
            </w:r>
          </w:p>
        </w:tc>
        <w:tc>
          <w:tcPr>
            <w:tcW w:type="dxa" w:w="1440"/>
          </w:tcPr>
          <w:p>
            <w:r>
              <w:rPr>
                <w:rFonts w:ascii="Calibri" w:hAnsi="Calibri"/>
                <w:sz w:val="22"/>
              </w:rPr>
              <w:t>$1.524B</w:t>
            </w:r>
          </w:p>
        </w:tc>
        <w:tc>
          <w:tcPr>
            <w:tcW w:type="dxa" w:w="1440"/>
          </w:tcPr>
          <w:p>
            <w:r>
              <w:rPr>
                <w:rFonts w:ascii="Calibri" w:hAnsi="Calibri"/>
                <w:b/>
                <w:color w:val="30A46C"/>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$2.04</w:t>
            </w:r>
          </w:p>
        </w:tc>
        <w:tc>
          <w:tcPr>
            <w:tcW w:type="dxa" w:w="1440"/>
          </w:tcPr>
          <w:p>
            <w:r>
              <w:rPr>
                <w:rFonts w:ascii="Calibri" w:hAnsi="Calibri"/>
                <w:sz w:val="22"/>
              </w:rPr>
              <w:t>$1.94</w:t>
            </w:r>
          </w:p>
        </w:tc>
        <w:tc>
          <w:tcPr>
            <w:tcW w:type="dxa" w:w="1440"/>
          </w:tcPr>
          <w:p>
            <w:r>
              <w:rPr>
                <w:rFonts w:ascii="Calibri" w:hAnsi="Calibri"/>
                <w:b/>
                <w:color w:val="30A46C"/>
                <w:sz w:val="22"/>
              </w:rPr>
              <w:t>+5.2%</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$1.537B</w:t>
            </w:r>
          </w:p>
        </w:tc>
        <w:tc>
          <w:tcPr>
            <w:tcW w:type="dxa" w:w="1440"/>
          </w:tcPr>
          <w:p>
            <w:r>
              <w:rPr>
                <w:rFonts w:ascii="Calibri" w:hAnsi="Calibri"/>
                <w:sz w:val="22"/>
              </w:rPr>
              <w:t>$1.514B</w:t>
            </w:r>
          </w:p>
        </w:tc>
        <w:tc>
          <w:tcPr>
            <w:tcW w:type="dxa" w:w="1440"/>
          </w:tcPr>
          <w:p>
            <w:r>
              <w:rPr>
                <w:rFonts w:ascii="Calibri" w:hAnsi="Calibri"/>
                <w:b/>
                <w:color w:val="30A46C"/>
                <w:sz w:val="22"/>
              </w:rPr>
              <w:t>+1.5%</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$2.00</w:t>
            </w:r>
          </w:p>
        </w:tc>
        <w:tc>
          <w:tcPr>
            <w:tcW w:type="dxa" w:w="1440"/>
          </w:tcPr>
          <w:p>
            <w:r>
              <w:rPr>
                <w:rFonts w:ascii="Calibri" w:hAnsi="Calibri"/>
                <w:sz w:val="22"/>
              </w:rPr>
              <w:t>$1.93</w:t>
            </w:r>
          </w:p>
        </w:tc>
        <w:tc>
          <w:tcPr>
            <w:tcW w:type="dxa" w:w="1440"/>
          </w:tcPr>
          <w:p>
            <w:r>
              <w:rPr>
                <w:rFonts w:ascii="Calibri" w:hAnsi="Calibri"/>
                <w:b/>
                <w:color w:val="30A46C"/>
                <w:sz w:val="22"/>
              </w:rPr>
              <w:t>+3.6%</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$1.442B</w:t>
            </w:r>
          </w:p>
        </w:tc>
        <w:tc>
          <w:tcPr>
            <w:tcW w:type="dxa" w:w="1440"/>
          </w:tcPr>
          <w:p>
            <w:r>
              <w:rPr>
                <w:rFonts w:ascii="Calibri" w:hAnsi="Calibri"/>
                <w:sz w:val="22"/>
              </w:rPr>
              <w:t>$1.417B</w:t>
            </w:r>
          </w:p>
        </w:tc>
        <w:tc>
          <w:tcPr>
            <w:tcW w:type="dxa" w:w="1440"/>
          </w:tcPr>
          <w:p>
            <w:r>
              <w:rPr>
                <w:rFonts w:ascii="Calibri" w:hAnsi="Calibri"/>
                <w:b/>
                <w:color w:val="30A46C"/>
                <w:sz w:val="22"/>
              </w:rPr>
              <w:t>+1.8%</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$1.53</w:t>
            </w:r>
          </w:p>
        </w:tc>
        <w:tc>
          <w:tcPr>
            <w:tcW w:type="dxa" w:w="1440"/>
          </w:tcPr>
          <w:p>
            <w:r>
              <w:rPr>
                <w:rFonts w:ascii="Calibri" w:hAnsi="Calibri"/>
                <w:sz w:val="22"/>
              </w:rPr>
              <w:t>$1.42</w:t>
            </w:r>
          </w:p>
        </w:tc>
        <w:tc>
          <w:tcPr>
            <w:tcW w:type="dxa" w:w="1440"/>
          </w:tcPr>
          <w:p>
            <w:r>
              <w:rPr>
                <w:rFonts w:ascii="Calibri" w:hAnsi="Calibri"/>
                <w:b/>
                <w:color w:val="30A46C"/>
                <w:sz w:val="22"/>
              </w:rPr>
              <w:t>+7.7%</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$1.419B</w:t>
            </w:r>
          </w:p>
        </w:tc>
        <w:tc>
          <w:tcPr>
            <w:tcW w:type="dxa" w:w="1440"/>
          </w:tcPr>
          <w:p>
            <w:r>
              <w:rPr>
                <w:rFonts w:ascii="Calibri" w:hAnsi="Calibri"/>
                <w:sz w:val="22"/>
              </w:rPr>
              <w:t>$1.440B</w:t>
            </w:r>
          </w:p>
        </w:tc>
        <w:tc>
          <w:tcPr>
            <w:tcW w:type="dxa" w:w="1440"/>
          </w:tcPr>
          <w:p>
            <w:r>
              <w:rPr>
                <w:rFonts w:ascii="Calibri" w:hAnsi="Calibri"/>
                <w:b/>
                <w:color w:val="E5484D"/>
                <w:sz w:val="22"/>
              </w:rPr>
              <w:t>-1.5%</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$2.12</w:t>
            </w:r>
          </w:p>
        </w:tc>
        <w:tc>
          <w:tcPr>
            <w:tcW w:type="dxa" w:w="1440"/>
          </w:tcPr>
          <w:p>
            <w:r>
              <w:rPr>
                <w:rFonts w:ascii="Calibri" w:hAnsi="Calibri"/>
                <w:sz w:val="22"/>
              </w:rPr>
              <w:t>$2.11</w:t>
            </w:r>
          </w:p>
        </w:tc>
        <w:tc>
          <w:tcPr>
            <w:tcW w:type="dxa" w:w="1440"/>
          </w:tcPr>
          <w:p>
            <w:r>
              <w:rPr>
                <w:rFonts w:ascii="Calibri" w:hAnsi="Calibri"/>
                <w:b/>
                <w:color w:val="30A46C"/>
                <w:sz w:val="22"/>
              </w:rPr>
              <w:t>+0.5%</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$1.442B</w:t>
            </w:r>
          </w:p>
        </w:tc>
        <w:tc>
          <w:tcPr>
            <w:tcW w:type="dxa" w:w="1440"/>
          </w:tcPr>
          <w:p>
            <w:r>
              <w:rPr>
                <w:rFonts w:ascii="Calibri" w:hAnsi="Calibri"/>
                <w:sz w:val="22"/>
              </w:rPr>
              <w:t>$1.446B</w:t>
            </w:r>
          </w:p>
        </w:tc>
        <w:tc>
          <w:tcPr>
            <w:tcW w:type="dxa" w:w="1440"/>
          </w:tcPr>
          <w:p>
            <w:r>
              <w:rPr>
                <w:rFonts w:ascii="Calibri" w:hAnsi="Calibri"/>
                <w:b/>
                <w:color w:val="E5484D"/>
                <w:sz w:val="22"/>
              </w:rPr>
              <w:t>-0.3%</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$1.85</w:t>
            </w:r>
          </w:p>
        </w:tc>
        <w:tc>
          <w:tcPr>
            <w:tcW w:type="dxa" w:w="1440"/>
          </w:tcPr>
          <w:p>
            <w:r>
              <w:rPr>
                <w:rFonts w:ascii="Calibri" w:hAnsi="Calibri"/>
                <w:sz w:val="22"/>
              </w:rPr>
              <w:t>$1.87</w:t>
            </w:r>
          </w:p>
        </w:tc>
        <w:tc>
          <w:tcPr>
            <w:tcW w:type="dxa" w:w="1440"/>
          </w:tcPr>
          <w:p>
            <w:r>
              <w:rPr>
                <w:rFonts w:ascii="Calibri" w:hAnsi="Calibri"/>
                <w:b/>
                <w:color w:val="E5484D"/>
                <w:sz w:val="22"/>
              </w:rPr>
              <w:t>-1.1%</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Total Revenue</w:t>
            </w:r>
          </w:p>
        </w:tc>
        <w:tc>
          <w:tcPr>
            <w:tcW w:type="dxa" w:w="1440"/>
          </w:tcPr>
          <w:p>
            <w:r>
              <w:rPr>
                <w:rFonts w:ascii="Calibri" w:hAnsi="Calibri"/>
                <w:sz w:val="22"/>
              </w:rPr>
              <w:t>$1.431B</w:t>
            </w:r>
          </w:p>
        </w:tc>
        <w:tc>
          <w:tcPr>
            <w:tcW w:type="dxa" w:w="1440"/>
          </w:tcPr>
          <w:p>
            <w:r>
              <w:rPr>
                <w:rFonts w:ascii="Calibri" w:hAnsi="Calibri"/>
                <w:sz w:val="22"/>
              </w:rPr>
              <w:t>$1.420B</w:t>
            </w:r>
          </w:p>
        </w:tc>
        <w:tc>
          <w:tcPr>
            <w:tcW w:type="dxa" w:w="1440"/>
          </w:tcPr>
          <w:p>
            <w:r>
              <w:rPr>
                <w:rFonts w:ascii="Calibri" w:hAnsi="Calibri"/>
                <w:b/>
                <w:color w:val="30A46C"/>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$1.82</w:t>
            </w:r>
          </w:p>
        </w:tc>
        <w:tc>
          <w:tcPr>
            <w:tcW w:type="dxa" w:w="1440"/>
          </w:tcPr>
          <w:p>
            <w:r>
              <w:rPr>
                <w:rFonts w:ascii="Calibri" w:hAnsi="Calibri"/>
                <w:sz w:val="22"/>
              </w:rPr>
              <w:t>$1.73</w:t>
            </w:r>
          </w:p>
        </w:tc>
        <w:tc>
          <w:tcPr>
            <w:tcW w:type="dxa" w:w="1440"/>
          </w:tcPr>
          <w:p>
            <w:r>
              <w:rPr>
                <w:rFonts w:ascii="Calibri" w:hAnsi="Calibri"/>
                <w:b/>
                <w:color w:val="30A46C"/>
                <w:sz w:val="22"/>
              </w:rPr>
              <w:t>+5.2%</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EFX has beaten revenue consensus in 6 of the last 8 quarters and beaten adjusted EPS in 7 of 8, with the two revenue misses (Q3 and Q4 2024) concentrated in a period of elevated mortgage rate headwinds; the streak of 5 consecutive beats since Q1 2025 reflects both improving mortgage market conditions and TWN Indicator share gains.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held full-year constant-currency revenue guidance unchanged from February, raising only the reported midpoint by $25M for FX and lifting EPS by $0.04 — a deliberate signal of conservatism, not weakness. </w:t>
      </w:r>
      <w:r>
        <w:rPr>
          <w:rFonts w:ascii="Calibri" w:hAnsi="Calibri"/>
          <w:b/>
          <w:color w:val="525866"/>
          <w:sz w:val="22"/>
        </w:rPr>
        <w:t>The tone is cautiously optimistic</w:t>
      </w:r>
      <w:r>
        <w:rPr>
          <w:rFonts w:ascii="Calibri" w:hAnsi="Calibri"/>
          <w:color w:val="525866"/>
          <w:sz w:val="22"/>
        </w:rPr>
        <w:t>: the underlying business is performing at or above the long-term framework, but management is unwilling to raise the bar until mortgage rate uncertainty clears.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Q4 2025 Earnings Baseline (Feb 2026)</w:t>
            </w:r>
          </w:p>
        </w:tc>
        <w:tc>
          <w:tcPr>
            <w:tcW w:type="dxa" w:w="2160"/>
            <w:shd w:val="clear" w:color="auto" w:fill="3B4259"/>
          </w:tcPr>
          <w:p>
            <w:r>
              <w:rPr>
                <w:rFonts w:ascii="Calibri" w:hAnsi="Calibri"/>
                <w:b/>
                <w:color w:val="FFFFFF"/>
                <w:sz w:val="22"/>
              </w:rPr>
              <w:t>Q1 2026 Earnings Update (Apr 2026)</w:t>
            </w:r>
          </w:p>
        </w:tc>
        <w:tc>
          <w:tcPr>
            <w:tcW w:type="dxa" w:w="2160"/>
            <w:shd w:val="clear" w:color="auto" w:fill="3B4259"/>
          </w:tcPr>
          <w:p>
            <w:r>
              <w:rPr>
                <w:rFonts w:ascii="Calibri" w:hAnsi="Calibri"/>
                <w:b/>
                <w:color w:val="FFFFFF"/>
                <w:sz w:val="22"/>
              </w:rPr>
              <w:t>Change</w:t>
            </w:r>
          </w:p>
        </w:tc>
      </w:tr>
      <w:tr>
        <w:tc>
          <w:tcPr>
            <w:tcW w:type="dxa" w:w="2160"/>
          </w:tcPr>
          <w:p>
            <w:r>
              <w:rPr>
                <w:rFonts w:ascii="Calibri" w:hAnsi="Calibri"/>
                <w:sz w:val="22"/>
              </w:rPr>
              <w:t>FY2026 Revenue (Reported)</w:t>
            </w:r>
          </w:p>
        </w:tc>
        <w:tc>
          <w:tcPr>
            <w:tcW w:type="dxa" w:w="2160"/>
          </w:tcPr>
          <w:p>
            <w:r>
              <w:rPr>
                <w:rFonts w:ascii="Calibri" w:hAnsi="Calibri"/>
                <w:sz w:val="22"/>
              </w:rPr>
              <w:t>~$6.720B midpoint</w:t>
            </w:r>
          </w:p>
        </w:tc>
        <w:tc>
          <w:tcPr>
            <w:tcW w:type="dxa" w:w="2160"/>
          </w:tcPr>
          <w:p>
            <w:r>
              <w:rPr>
                <w:rFonts w:ascii="Calibri" w:hAnsi="Calibri"/>
                <w:sz w:val="22"/>
              </w:rPr>
              <w:t>$6.745B midpoint (+$25M for FX)</w:t>
            </w:r>
          </w:p>
        </w:tc>
        <w:tc>
          <w:tcPr>
            <w:tcW w:type="dxa" w:w="2160"/>
          </w:tcPr>
          <w:p>
            <w:r>
              <w:rPr>
                <w:rFonts w:ascii="Calibri" w:hAnsi="Calibri"/>
                <w:b/>
                <w:color w:val="30A46C"/>
                <w:sz w:val="22"/>
              </w:rPr>
              <w:t>+$25M (FX only)</w:t>
            </w:r>
          </w:p>
        </w:tc>
      </w:tr>
      <w:tr>
        <w:tc>
          <w:tcPr>
            <w:tcW w:type="dxa" w:w="2160"/>
          </w:tcPr>
          <w:p>
            <w:r>
              <w:rPr>
                <w:rFonts w:ascii="Calibri" w:hAnsi="Calibri"/>
                <w:sz w:val="22"/>
              </w:rPr>
              <w:t>FY2026 Revenue (Constant Currency)</w:t>
            </w:r>
          </w:p>
        </w:tc>
        <w:tc>
          <w:tcPr>
            <w:tcW w:type="dxa" w:w="2160"/>
          </w:tcPr>
          <w:p>
            <w:r>
              <w:rPr>
                <w:rFonts w:ascii="Calibri" w:hAnsi="Calibri"/>
                <w:sz w:val="22"/>
              </w:rPr>
              <w:t>Unchanged</w:t>
            </w:r>
          </w:p>
        </w:tc>
        <w:tc>
          <w:tcPr>
            <w:tcW w:type="dxa" w:w="2160"/>
          </w:tcPr>
          <w:p>
            <w:r>
              <w:rPr>
                <w:rFonts w:ascii="Calibri" w:hAnsi="Calibri"/>
                <w:sz w:val="22"/>
              </w:rPr>
              <w:t>Unchanged</w:t>
            </w:r>
          </w:p>
        </w:tc>
        <w:tc>
          <w:tcPr>
            <w:tcW w:type="dxa" w:w="2160"/>
          </w:tcPr>
          <w:p>
            <w:r>
              <w:rPr>
                <w:rFonts w:ascii="Calibri" w:hAnsi="Calibri"/>
                <w:sz w:val="22"/>
              </w:rPr>
              <w:t>No change</w:t>
            </w:r>
          </w:p>
        </w:tc>
      </w:tr>
      <w:tr>
        <w:tc>
          <w:tcPr>
            <w:tcW w:type="dxa" w:w="2160"/>
          </w:tcPr>
          <w:p>
            <w:r>
              <w:rPr>
                <w:rFonts w:ascii="Calibri" w:hAnsi="Calibri"/>
                <w:sz w:val="22"/>
              </w:rPr>
              <w:t>FY2026 Adj. EPS</w:t>
            </w:r>
          </w:p>
        </w:tc>
        <w:tc>
          <w:tcPr>
            <w:tcW w:type="dxa" w:w="2160"/>
          </w:tcPr>
          <w:p>
            <w:r>
              <w:rPr>
                <w:rFonts w:ascii="Calibri" w:hAnsi="Calibri"/>
                <w:sz w:val="22"/>
              </w:rPr>
              <w:t>$8.50 midpoint</w:t>
            </w:r>
          </w:p>
        </w:tc>
        <w:tc>
          <w:tcPr>
            <w:tcW w:type="dxa" w:w="2160"/>
          </w:tcPr>
          <w:p>
            <w:r>
              <w:rPr>
                <w:rFonts w:ascii="Calibri" w:hAnsi="Calibri"/>
                <w:sz w:val="22"/>
              </w:rPr>
              <w:t>$8.54 midpoint (+$0.04)</w:t>
            </w:r>
          </w:p>
        </w:tc>
        <w:tc>
          <w:tcPr>
            <w:tcW w:type="dxa" w:w="2160"/>
          </w:tcPr>
          <w:p>
            <w:r>
              <w:rPr>
                <w:rFonts w:ascii="Calibri" w:hAnsi="Calibri"/>
                <w:b/>
                <w:color w:val="30A46C"/>
                <w:sz w:val="22"/>
              </w:rPr>
              <w:t>+$0.04 (FX benefit)</w:t>
            </w:r>
          </w:p>
        </w:tc>
      </w:tr>
      <w:tr>
        <w:tc>
          <w:tcPr>
            <w:tcW w:type="dxa" w:w="2160"/>
          </w:tcPr>
          <w:p>
            <w:r>
              <w:rPr>
                <w:rFonts w:ascii="Calibri" w:hAnsi="Calibri"/>
                <w:sz w:val="22"/>
              </w:rPr>
              <w:t>Q2 2026 Revenue</w:t>
            </w:r>
          </w:p>
        </w:tc>
        <w:tc>
          <w:tcPr>
            <w:tcW w:type="dxa" w:w="2160"/>
          </w:tcPr>
          <w:p>
            <w:r>
              <w:rPr>
                <w:rFonts w:ascii="Calibri" w:hAnsi="Calibri"/>
                <w:sz w:val="22"/>
              </w:rPr>
              <w:t>N/A (not guided at Feb earnings)</w:t>
            </w:r>
          </w:p>
        </w:tc>
        <w:tc>
          <w:tcPr>
            <w:tcW w:type="dxa" w:w="2160"/>
          </w:tcPr>
          <w:p>
            <w:r>
              <w:rPr>
                <w:rFonts w:ascii="Calibri" w:hAnsi="Calibri"/>
                <w:sz w:val="22"/>
              </w:rPr>
              <w:t>$1.680–$1.710B (midpoint $1.695B)</w:t>
            </w:r>
          </w:p>
        </w:tc>
        <w:tc>
          <w:tcPr>
            <w:tcW w:type="dxa" w:w="2160"/>
          </w:tcPr>
          <w:p>
            <w:r>
              <w:rPr>
                <w:rFonts w:ascii="Calibri" w:hAnsi="Calibri"/>
                <w:b/>
                <w:color w:val="002FA7"/>
                <w:sz w:val="22"/>
              </w:rPr>
              <w:t>New guidance</w:t>
            </w:r>
          </w:p>
        </w:tc>
      </w:tr>
      <w:tr>
        <w:tc>
          <w:tcPr>
            <w:tcW w:type="dxa" w:w="2160"/>
          </w:tcPr>
          <w:p>
            <w:r>
              <w:rPr>
                <w:rFonts w:ascii="Calibri" w:hAnsi="Calibri"/>
                <w:sz w:val="22"/>
              </w:rPr>
              <w:t>Q2 2026 Adj. EPS</w:t>
            </w:r>
          </w:p>
        </w:tc>
        <w:tc>
          <w:tcPr>
            <w:tcW w:type="dxa" w:w="2160"/>
          </w:tcPr>
          <w:p>
            <w:r>
              <w:rPr>
                <w:rFonts w:ascii="Calibri" w:hAnsi="Calibri"/>
                <w:sz w:val="22"/>
              </w:rPr>
              <w:t>N/A</w:t>
            </w:r>
          </w:p>
        </w:tc>
        <w:tc>
          <w:tcPr>
            <w:tcW w:type="dxa" w:w="2160"/>
          </w:tcPr>
          <w:p>
            <w:r>
              <w:rPr>
                <w:rFonts w:ascii="Calibri" w:hAnsi="Calibri"/>
                <w:sz w:val="22"/>
              </w:rPr>
              <w:t>$2.15–$2.25 (midpoint $2.20)</w:t>
            </w:r>
          </w:p>
        </w:tc>
        <w:tc>
          <w:tcPr>
            <w:tcW w:type="dxa" w:w="2160"/>
          </w:tcPr>
          <w:p>
            <w:r>
              <w:rPr>
                <w:rFonts w:ascii="Calibri" w:hAnsi="Calibri"/>
                <w:b/>
                <w:color w:val="002FA7"/>
                <w:sz w:val="22"/>
              </w:rPr>
              <w:t>New guidance</w:t>
            </w:r>
          </w:p>
        </w:tc>
      </w:tr>
      <w:tr>
        <w:tc>
          <w:tcPr>
            <w:tcW w:type="dxa" w:w="2160"/>
          </w:tcPr>
          <w:p>
            <w:r>
              <w:rPr>
                <w:rFonts w:ascii="Calibri" w:hAnsi="Calibri"/>
                <w:sz w:val="22"/>
              </w:rPr>
              <w:t>Q2 2026 EBITDA Margin</w:t>
            </w:r>
          </w:p>
        </w:tc>
        <w:tc>
          <w:tcPr>
            <w:tcW w:type="dxa" w:w="2160"/>
          </w:tcPr>
          <w:p>
            <w:r>
              <w:rPr>
                <w:rFonts w:ascii="Calibri" w:hAnsi="Calibri"/>
                <w:sz w:val="22"/>
              </w:rPr>
              <w:t>N/A</w:t>
            </w:r>
          </w:p>
        </w:tc>
        <w:tc>
          <w:tcPr>
            <w:tcW w:type="dxa" w:w="2160"/>
          </w:tcPr>
          <w:p>
            <w:r>
              <w:rPr>
                <w:rFonts w:ascii="Calibri" w:hAnsi="Calibri"/>
                <w:sz w:val="22"/>
              </w:rPr>
              <w:t>~32.2% (ex-FICO: 34.3–34.7%)</w:t>
            </w:r>
          </w:p>
        </w:tc>
        <w:tc>
          <w:tcPr>
            <w:tcW w:type="dxa" w:w="2160"/>
          </w:tcPr>
          <w:p>
            <w:r>
              <w:rPr>
                <w:rFonts w:ascii="Calibri" w:hAnsi="Calibri"/>
                <w:b/>
                <w:color w:val="002FA7"/>
                <w:sz w:val="22"/>
              </w:rPr>
              <w:t>New guidance</w:t>
            </w:r>
          </w:p>
        </w:tc>
      </w:tr>
      <w:tr>
        <w:tc>
          <w:tcPr>
            <w:tcW w:type="dxa" w:w="2160"/>
          </w:tcPr>
          <w:p>
            <w:r>
              <w:rPr>
                <w:rFonts w:ascii="Calibri" w:hAnsi="Calibri"/>
                <w:sz w:val="22"/>
              </w:rPr>
              <w:t>EWS Revenue Growth (FY2026)</w:t>
            </w:r>
          </w:p>
        </w:tc>
        <w:tc>
          <w:tcPr>
            <w:tcW w:type="dxa" w:w="2160"/>
          </w:tcPr>
          <w:p>
            <w:r>
              <w:rPr>
                <w:rFonts w:ascii="Calibri" w:hAnsi="Calibri"/>
                <w:sz w:val="22"/>
              </w:rPr>
              <w:t>High single digits</w:t>
            </w:r>
          </w:p>
        </w:tc>
        <w:tc>
          <w:tcPr>
            <w:tcW w:type="dxa" w:w="2160"/>
          </w:tcPr>
          <w:p>
            <w:r>
              <w:rPr>
                <w:rFonts w:ascii="Calibri" w:hAnsi="Calibri"/>
                <w:sz w:val="22"/>
              </w:rPr>
              <w:t>High single digits (unchanged)</w:t>
            </w:r>
          </w:p>
        </w:tc>
        <w:tc>
          <w:tcPr>
            <w:tcW w:type="dxa" w:w="2160"/>
          </w:tcPr>
          <w:p>
            <w:r>
              <w:rPr>
                <w:rFonts w:ascii="Calibri" w:hAnsi="Calibri"/>
                <w:sz w:val="22"/>
              </w:rPr>
              <w:t>No change</w:t>
            </w:r>
          </w:p>
        </w:tc>
      </w:tr>
      <w:tr>
        <w:tc>
          <w:tcPr>
            <w:tcW w:type="dxa" w:w="2160"/>
          </w:tcPr>
          <w:p>
            <w:r>
              <w:rPr>
                <w:rFonts w:ascii="Calibri" w:hAnsi="Calibri"/>
                <w:sz w:val="22"/>
              </w:rPr>
              <w:t>Employer Services (FY2026)</w:t>
            </w:r>
          </w:p>
        </w:tc>
        <w:tc>
          <w:tcPr>
            <w:tcW w:type="dxa" w:w="2160"/>
          </w:tcPr>
          <w:p>
            <w:r>
              <w:rPr>
                <w:rFonts w:ascii="Calibri" w:hAnsi="Calibri"/>
                <w:sz w:val="22"/>
              </w:rPr>
              <w:t>Flat to slight growth</w:t>
            </w:r>
          </w:p>
        </w:tc>
        <w:tc>
          <w:tcPr>
            <w:tcW w:type="dxa" w:w="2160"/>
          </w:tcPr>
          <w:p>
            <w:r>
              <w:rPr>
                <w:rFonts w:ascii="Calibri" w:hAnsi="Calibri"/>
                <w:sz w:val="22"/>
              </w:rPr>
              <w:t>Slight decline (WOTC not extended)</w:t>
            </w:r>
          </w:p>
        </w:tc>
        <w:tc>
          <w:tcPr>
            <w:tcW w:type="dxa" w:w="2160"/>
          </w:tcPr>
          <w:p>
            <w:r>
              <w:rPr>
                <w:rFonts w:ascii="Calibri" w:hAnsi="Calibri"/>
                <w:b/>
                <w:color w:val="E5484D"/>
                <w:sz w:val="22"/>
              </w:rPr>
              <w:t>Downgrade — WOTC headwind</w:t>
            </w:r>
          </w:p>
        </w:tc>
      </w:tr>
      <w:tr>
        <w:tc>
          <w:tcPr>
            <w:tcW w:type="dxa" w:w="2160"/>
          </w:tcPr>
          <w:p>
            <w:r>
              <w:rPr>
                <w:rFonts w:ascii="Calibri" w:hAnsi="Calibri"/>
                <w:sz w:val="22"/>
              </w:rPr>
              <w:t>U.S. Mortgage Revenue (FY2026)</w:t>
            </w:r>
          </w:p>
        </w:tc>
        <w:tc>
          <w:tcPr>
            <w:tcW w:type="dxa" w:w="2160"/>
          </w:tcPr>
          <w:p>
            <w:r>
              <w:rPr>
                <w:rFonts w:ascii="Calibri" w:hAnsi="Calibri"/>
                <w:sz w:val="22"/>
              </w:rPr>
              <w:t>&gt;+20% (mkt originations down low SD)</w:t>
            </w:r>
          </w:p>
        </w:tc>
        <w:tc>
          <w:tcPr>
            <w:tcW w:type="dxa" w:w="2160"/>
          </w:tcPr>
          <w:p>
            <w:r>
              <w:rPr>
                <w:rFonts w:ascii="Calibri" w:hAnsi="Calibri"/>
                <w:sz w:val="22"/>
              </w:rPr>
              <w:t>&gt;+20% (unchanged)</w:t>
            </w:r>
          </w:p>
        </w:tc>
        <w:tc>
          <w:tcPr>
            <w:tcW w:type="dxa" w:w="2160"/>
          </w:tcPr>
          <w:p>
            <w:r>
              <w:rPr>
                <w:rFonts w:ascii="Calibri" w:hAnsi="Calibri"/>
                <w:sz w:val="22"/>
              </w:rPr>
              <w:t>No change</w:t>
            </w:r>
          </w:p>
        </w:tc>
      </w:tr>
      <w:tr>
        <w:tc>
          <w:tcPr>
            <w:tcW w:type="dxa" w:w="2160"/>
          </w:tcPr>
          <w:p>
            <w:r>
              <w:rPr>
                <w:rFonts w:ascii="Calibri" w:hAnsi="Calibri"/>
                <w:sz w:val="22"/>
              </w:rPr>
              <w:t>Ex-FICO Revenue Growth (FY2026)</w:t>
            </w:r>
          </w:p>
        </w:tc>
        <w:tc>
          <w:tcPr>
            <w:tcW w:type="dxa" w:w="2160"/>
          </w:tcPr>
          <w:p>
            <w:r>
              <w:rPr>
                <w:rFonts w:ascii="Calibri" w:hAnsi="Calibri"/>
                <w:sz w:val="22"/>
              </w:rPr>
              <w:t>7–9%</w:t>
            </w:r>
          </w:p>
        </w:tc>
        <w:tc>
          <w:tcPr>
            <w:tcW w:type="dxa" w:w="2160"/>
          </w:tcPr>
          <w:p>
            <w:r>
              <w:rPr>
                <w:rFonts w:ascii="Calibri" w:hAnsi="Calibri"/>
                <w:sz w:val="22"/>
              </w:rPr>
              <w:t>7–9% (unchanged)</w:t>
            </w:r>
          </w:p>
        </w:tc>
        <w:tc>
          <w:tcPr>
            <w:tcW w:type="dxa" w:w="2160"/>
          </w:tcPr>
          <w:p>
            <w:r>
              <w:rPr>
                <w:rFonts w:ascii="Calibri" w:hAnsi="Calibri"/>
                <w:sz w:val="22"/>
              </w:rPr>
              <w:t>No change</w:t>
            </w:r>
          </w:p>
        </w:tc>
      </w:tr>
      <w:tr>
        <w:tc>
          <w:tcPr>
            <w:tcW w:type="dxa" w:w="2160"/>
          </w:tcPr>
          <w:p>
            <w:r>
              <w:rPr>
                <w:rFonts w:ascii="Calibri" w:hAnsi="Calibri"/>
                <w:sz w:val="22"/>
              </w:rPr>
              <w:t>Free Cash Flow (FY2026)</w:t>
            </w:r>
          </w:p>
        </w:tc>
        <w:tc>
          <w:tcPr>
            <w:tcW w:type="dxa" w:w="2160"/>
          </w:tcPr>
          <w:p>
            <w:r>
              <w:rPr>
                <w:rFonts w:ascii="Calibri" w:hAnsi="Calibri"/>
                <w:sz w:val="22"/>
              </w:rPr>
              <w:t>&gt;$1.0B</w:t>
            </w:r>
          </w:p>
        </w:tc>
        <w:tc>
          <w:tcPr>
            <w:tcW w:type="dxa" w:w="2160"/>
          </w:tcPr>
          <w:p>
            <w:r>
              <w:rPr>
                <w:rFonts w:ascii="Calibri" w:hAnsi="Calibri"/>
                <w:sz w:val="22"/>
              </w:rPr>
              <w:t>&gt;$1.0B (unchanged)</w:t>
            </w:r>
          </w:p>
        </w:tc>
        <w:tc>
          <w:tcPr>
            <w:tcW w:type="dxa" w:w="2160"/>
          </w:tcPr>
          <w:p>
            <w:r>
              <w:rPr>
                <w:rFonts w:ascii="Calibri" w:hAnsi="Calibri"/>
                <w:sz w:val="22"/>
              </w:rPr>
              <w:t>No change</w:t>
            </w:r>
          </w:p>
        </w:tc>
      </w:tr>
    </w:tbl>
    <w:p>
      <w:r>
        <w:rPr>
          <w:rFonts w:ascii="Calibri" w:hAnsi="Calibri"/>
          <w:i/>
          <w:color w:val="525866"/>
          <w:sz w:val="22"/>
        </w:rPr>
        <w:t>Source: EFX Q4 2025 Earnings Call (February 4, 2026); EFX Q1 2026 Earnings Call (April 21, 2026).</w:t>
      </w:r>
    </w:p>
    <w:p>
      <w:r>
        <w:rPr>
          <w:rFonts w:ascii="Calibri" w:hAnsi="Calibri"/>
          <w:b/>
          <w:color w:val="525866"/>
          <w:sz w:val="22"/>
        </w:rPr>
        <w:t>Key Narrative Shifts Since Q1 Earnings:</w:t>
      </w:r>
    </w:p>
    <w:p>
      <w:pPr>
        <w:pStyle w:val="ListBullet"/>
        <w:ind w:left="360" w:hanging="360"/>
      </w:pPr>
      <w:r>
        <w:rPr>
          <w:rFonts w:ascii="Calibri" w:hAnsi="Calibri"/>
          <w:b/>
          <w:color w:val="525866"/>
          <w:sz w:val="22"/>
        </w:rPr>
        <w:t xml:space="preserve">WOTC headwind confirmed: </w:t>
      </w:r>
      <w:r>
        <w:rPr>
          <w:rFonts w:ascii="Calibri" w:hAnsi="Calibri"/>
          <w:color w:val="525866"/>
          <w:sz w:val="22"/>
        </w:rPr>
        <w:t>Work Opportunity Tax Credit legislation was not extended by the federal government, causing Employer Services to shift from flat/slight growth to a slight decline in FY2026. This was a new negative not flagged at the February earnings call.</w:t>
      </w:r>
    </w:p>
    <w:p>
      <w:pPr>
        <w:pStyle w:val="ListBullet"/>
        <w:ind w:left="360" w:hanging="360"/>
      </w:pPr>
      <w:r>
        <w:rPr>
          <w:rFonts w:ascii="Calibri" w:hAnsi="Calibri"/>
          <w:b/>
          <w:color w:val="525866"/>
          <w:sz w:val="22"/>
        </w:rPr>
        <w:t xml:space="preserve">VantageScore activation: </w:t>
      </w:r>
      <w:r>
        <w:rPr>
          <w:rFonts w:ascii="Calibri" w:hAnsi="Calibri"/>
          <w:color w:val="525866"/>
          <w:sz w:val="22"/>
        </w:rPr>
        <w:t>FHFA and HUD formally activated VantageScore 4.0 for agency originations (Fannie Mae, Freddie Mac, FHA) on April 22, 2026 — one day after Q1 earnings. Over 240 lenders are now ingesting the free VantageScore alongside paid FICO. Full conversion would add ~$35M of annual EBITDA at full margin. 2026 guidance assumes zero conversion, making any adoption pure upside.</w:t>
      </w:r>
    </w:p>
    <w:p>
      <w:pPr>
        <w:pStyle w:val="ListBullet"/>
        <w:ind w:left="360" w:hanging="360"/>
      </w:pPr>
      <w:r>
        <w:rPr>
          <w:rFonts w:ascii="Calibri" w:hAnsi="Calibri"/>
          <w:b/>
          <w:color w:val="525866"/>
          <w:sz w:val="22"/>
        </w:rPr>
        <w:t xml:space="preserve">TWN Indicator expansion: </w:t>
      </w:r>
      <w:r>
        <w:rPr>
          <w:rFonts w:ascii="Calibri" w:hAnsi="Calibri"/>
          <w:color w:val="525866"/>
          <w:sz w:val="22"/>
        </w:rPr>
        <w:t>Auto lender and personal loan TWN Indicator products launched in April 2026, expanding the addressable market beyond mortgage. TWN active records reached 211 million (up from 209M at Q4 2025).</w:t>
      </w:r>
    </w:p>
    <w:p>
      <w:pPr>
        <w:pStyle w:val="ListBullet"/>
        <w:ind w:left="360" w:hanging="360"/>
      </w:pPr>
      <w:r>
        <w:rPr>
          <w:rFonts w:ascii="Calibri" w:hAnsi="Calibri"/>
          <w:b/>
          <w:color w:val="525866"/>
          <w:sz w:val="22"/>
        </w:rPr>
        <w:t xml:space="preserve">AI productivity program: </w:t>
      </w:r>
      <w:r>
        <w:rPr>
          <w:rFonts w:ascii="Calibri" w:hAnsi="Calibri"/>
          <w:color w:val="525866"/>
          <w:sz w:val="22"/>
        </w:rPr>
        <w:t>Management reports strong ROI on AI agent deployments in operations centers, with first-call resolution improvements and no token cost escalation. This is a margin tailwind that is not yet fully reflected in consensus estimates.</w:t>
      </w:r>
    </w:p>
    <w:p>
      <w:pPr>
        <w:pStyle w:val="ListBullet"/>
        <w:ind w:left="360" w:hanging="360"/>
      </w:pPr>
      <w:r>
        <w:rPr>
          <w:rFonts w:ascii="Calibri" w:hAnsi="Calibri"/>
          <w:b/>
          <w:color w:val="525866"/>
          <w:sz w:val="22"/>
        </w:rPr>
        <w:t xml:space="preserve">Círculo de Crédito acquisition (July 7, 2026): </w:t>
      </w:r>
      <w:r>
        <w:rPr>
          <w:rFonts w:ascii="Calibri" w:hAnsi="Calibri"/>
          <w:color w:val="525866"/>
          <w:sz w:val="22"/>
        </w:rPr>
        <w:t>Post-Q1 development. $750M enterprise value, $134M LTM revenue (+31%), $62M Adjusted EBITDA. Expected to close Q4 2026 and be EPS-accretive in year one. Adds Mexico exposure (second-largest Latin American economy) and is EFX's 17th bolt-on in six years.</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 revisions since Q1 earnings have been flat-to-slightly-positive, tracking management's guidance-hold posture. The FY2026 consensus EPS of $8.64 sits modestly above the raised guidance midpoint of $8.54, embedding a small beat-and-raise expectation for H2 2026 — a mild tailwind, not a headwind.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Management Guidance (Q1 2026 Call)</w:t>
            </w:r>
          </w:p>
        </w:tc>
        <w:tc>
          <w:tcPr>
            <w:tcW w:type="dxa" w:w="1728"/>
            <w:shd w:val="clear" w:color="auto" w:fill="3B4259"/>
          </w:tcPr>
          <w:p>
            <w:r>
              <w:rPr>
                <w:rFonts w:ascii="Calibri" w:hAnsi="Calibri"/>
                <w:b/>
                <w:color w:val="FFFFFF"/>
                <w:sz w:val="22"/>
              </w:rPr>
              <w:t>Current Consensus (VA)</w:t>
            </w:r>
          </w:p>
        </w:tc>
        <w:tc>
          <w:tcPr>
            <w:tcW w:type="dxa" w:w="1728"/>
            <w:shd w:val="clear" w:color="auto" w:fill="3B4259"/>
          </w:tcPr>
          <w:p>
            <w:r>
              <w:rPr>
                <w:rFonts w:ascii="Calibri" w:hAnsi="Calibri"/>
                <w:b/>
                <w:color w:val="FFFFFF"/>
                <w:sz w:val="22"/>
              </w:rPr>
              <w:t>Cons. vs. Guidance Midpoint</w:t>
            </w:r>
          </w:p>
        </w:tc>
        <w:tc>
          <w:tcPr>
            <w:tcW w:type="dxa" w:w="1728"/>
            <w:shd w:val="clear" w:color="auto" w:fill="3B4259"/>
          </w:tcPr>
          <w:p>
            <w:r>
              <w:rPr>
                <w:rFonts w:ascii="Calibri" w:hAnsi="Calibri"/>
                <w:b/>
                <w:color w:val="FFFFFF"/>
                <w:sz w:val="22"/>
              </w:rPr>
              <w:t>Revision Direction</w:t>
            </w:r>
          </w:p>
        </w:tc>
      </w:tr>
      <w:tr>
        <w:tc>
          <w:tcPr>
            <w:tcW w:type="dxa" w:w="1728"/>
          </w:tcPr>
          <w:p>
            <w:r>
              <w:rPr>
                <w:rFonts w:ascii="Calibri" w:hAnsi="Calibri"/>
                <w:sz w:val="22"/>
              </w:rPr>
              <w:t>Q2 2026 Revenue</w:t>
            </w:r>
          </w:p>
        </w:tc>
        <w:tc>
          <w:tcPr>
            <w:tcW w:type="dxa" w:w="1728"/>
          </w:tcPr>
          <w:p>
            <w:r>
              <w:rPr>
                <w:rFonts w:ascii="Calibri" w:hAnsi="Calibri"/>
                <w:sz w:val="22"/>
              </w:rPr>
              <w:t>$1.680–$1.710B ($1.695B mid)</w:t>
            </w:r>
          </w:p>
        </w:tc>
        <w:tc>
          <w:tcPr>
            <w:tcW w:type="dxa" w:w="1728"/>
          </w:tcPr>
          <w:p>
            <w:r>
              <w:rPr>
                <w:rFonts w:ascii="Calibri" w:hAnsi="Calibri"/>
                <w:sz w:val="22"/>
              </w:rPr>
              <w:t>$1.699B</w:t>
            </w:r>
          </w:p>
        </w:tc>
        <w:tc>
          <w:tcPr>
            <w:tcW w:type="dxa" w:w="1728"/>
          </w:tcPr>
          <w:p>
            <w:r>
              <w:rPr>
                <w:rFonts w:ascii="Calibri" w:hAnsi="Calibri"/>
                <w:sz w:val="22"/>
              </w:rPr>
              <w:t>+0.2%</w:t>
            </w:r>
          </w:p>
        </w:tc>
        <w:tc>
          <w:tcPr>
            <w:tcW w:type="dxa" w:w="1728"/>
          </w:tcPr>
          <w:p>
            <w:r>
              <w:rPr>
                <w:rFonts w:ascii="Calibri" w:hAnsi="Calibri"/>
                <w:sz w:val="22"/>
              </w:rPr>
              <w:t>→ Flat / pinned to midpoint</w:t>
            </w:r>
          </w:p>
        </w:tc>
      </w:tr>
      <w:tr>
        <w:tc>
          <w:tcPr>
            <w:tcW w:type="dxa" w:w="1728"/>
          </w:tcPr>
          <w:p>
            <w:r>
              <w:rPr>
                <w:rFonts w:ascii="Calibri" w:hAnsi="Calibri"/>
                <w:sz w:val="22"/>
              </w:rPr>
              <w:t>Q2 2026 Adj. EPS</w:t>
            </w:r>
          </w:p>
        </w:tc>
        <w:tc>
          <w:tcPr>
            <w:tcW w:type="dxa" w:w="1728"/>
          </w:tcPr>
          <w:p>
            <w:r>
              <w:rPr>
                <w:rFonts w:ascii="Calibri" w:hAnsi="Calibri"/>
                <w:sz w:val="22"/>
              </w:rPr>
              <w:t>$2.15–$2.25 ($2.20 mid)</w:t>
            </w:r>
          </w:p>
        </w:tc>
        <w:tc>
          <w:tcPr>
            <w:tcW w:type="dxa" w:w="1728"/>
          </w:tcPr>
          <w:p>
            <w:r>
              <w:rPr>
                <w:rFonts w:ascii="Calibri" w:hAnsi="Calibri"/>
                <w:sz w:val="22"/>
              </w:rPr>
              <w:t>$2.21</w:t>
            </w:r>
          </w:p>
        </w:tc>
        <w:tc>
          <w:tcPr>
            <w:tcW w:type="dxa" w:w="1728"/>
          </w:tcPr>
          <w:p>
            <w:r>
              <w:rPr>
                <w:rFonts w:ascii="Calibri" w:hAnsi="Calibri"/>
                <w:sz w:val="22"/>
              </w:rPr>
              <w:t>+0.5%</w:t>
            </w:r>
          </w:p>
        </w:tc>
        <w:tc>
          <w:tcPr>
            <w:tcW w:type="dxa" w:w="1728"/>
          </w:tcPr>
          <w:p>
            <w:r>
              <w:rPr>
                <w:rFonts w:ascii="Calibri" w:hAnsi="Calibri"/>
                <w:sz w:val="22"/>
              </w:rPr>
              <w:t>→ Flat / slight upward drift</w:t>
            </w:r>
          </w:p>
        </w:tc>
      </w:tr>
      <w:tr>
        <w:tc>
          <w:tcPr>
            <w:tcW w:type="dxa" w:w="1728"/>
          </w:tcPr>
          <w:p>
            <w:r>
              <w:rPr>
                <w:rFonts w:ascii="Calibri" w:hAnsi="Calibri"/>
                <w:sz w:val="22"/>
              </w:rPr>
              <w:t>Q2 2026 EBITDA Margin</w:t>
            </w:r>
          </w:p>
        </w:tc>
        <w:tc>
          <w:tcPr>
            <w:tcW w:type="dxa" w:w="1728"/>
          </w:tcPr>
          <w:p>
            <w:r>
              <w:rPr>
                <w:rFonts w:ascii="Calibri" w:hAnsi="Calibri"/>
                <w:sz w:val="22"/>
              </w:rPr>
              <w:t>~32.2% (ex-FICO: 34.3–34.7%)</w:t>
            </w:r>
          </w:p>
        </w:tc>
        <w:tc>
          <w:tcPr>
            <w:tcW w:type="dxa" w:w="1728"/>
          </w:tcPr>
          <w:p>
            <w:r>
              <w:rPr>
                <w:rFonts w:ascii="Calibri" w:hAnsi="Calibri"/>
                <w:sz w:val="22"/>
              </w:rPr>
              <w:t>32.1%</w:t>
            </w:r>
          </w:p>
        </w:tc>
        <w:tc>
          <w:tcPr>
            <w:tcW w:type="dxa" w:w="1728"/>
          </w:tcPr>
          <w:p>
            <w:r>
              <w:rPr>
                <w:rFonts w:ascii="Calibri" w:hAnsi="Calibri"/>
                <w:sz w:val="22"/>
              </w:rPr>
              <w:t>-10 bps</w:t>
            </w:r>
          </w:p>
        </w:tc>
        <w:tc>
          <w:tcPr>
            <w:tcW w:type="dxa" w:w="1728"/>
          </w:tcPr>
          <w:p>
            <w:r>
              <w:rPr>
                <w:rFonts w:ascii="Calibri" w:hAnsi="Calibri"/>
                <w:sz w:val="22"/>
              </w:rPr>
              <w:t>→ Slight downward vs. guidance mid</w:t>
            </w:r>
          </w:p>
        </w:tc>
      </w:tr>
      <w:tr>
        <w:tc>
          <w:tcPr>
            <w:tcW w:type="dxa" w:w="1728"/>
          </w:tcPr>
          <w:p>
            <w:r>
              <w:rPr>
                <w:rFonts w:ascii="Calibri" w:hAnsi="Calibri"/>
                <w:sz w:val="22"/>
              </w:rPr>
              <w:t>FY2026 Revenue</w:t>
            </w:r>
          </w:p>
        </w:tc>
        <w:tc>
          <w:tcPr>
            <w:tcW w:type="dxa" w:w="1728"/>
          </w:tcPr>
          <w:p>
            <w:r>
              <w:rPr>
                <w:rFonts w:ascii="Calibri" w:hAnsi="Calibri"/>
                <w:sz w:val="22"/>
              </w:rPr>
              <w:t>$6.720–$6.770B ($6.745B mid)</w:t>
            </w:r>
          </w:p>
        </w:tc>
        <w:tc>
          <w:tcPr>
            <w:tcW w:type="dxa" w:w="1728"/>
          </w:tcPr>
          <w:p>
            <w:r>
              <w:rPr>
                <w:rFonts w:ascii="Calibri" w:hAnsi="Calibri"/>
                <w:sz w:val="22"/>
              </w:rPr>
              <w:t>$6.771B</w:t>
            </w:r>
          </w:p>
        </w:tc>
        <w:tc>
          <w:tcPr>
            <w:tcW w:type="dxa" w:w="1728"/>
          </w:tcPr>
          <w:p>
            <w:r>
              <w:rPr>
                <w:rFonts w:ascii="Calibri" w:hAnsi="Calibri"/>
                <w:sz w:val="22"/>
              </w:rPr>
              <w:t>+0.4%</w:t>
            </w:r>
          </w:p>
        </w:tc>
        <w:tc>
          <w:tcPr>
            <w:tcW w:type="dxa" w:w="1728"/>
          </w:tcPr>
          <w:p>
            <w:r>
              <w:rPr>
                <w:rFonts w:ascii="Calibri" w:hAnsi="Calibri"/>
                <w:sz w:val="22"/>
              </w:rPr>
              <w:t>↑ Slight upward drift post-Q1 beat</w:t>
            </w:r>
          </w:p>
        </w:tc>
      </w:tr>
      <w:tr>
        <w:tc>
          <w:tcPr>
            <w:tcW w:type="dxa" w:w="1728"/>
          </w:tcPr>
          <w:p>
            <w:r>
              <w:rPr>
                <w:rFonts w:ascii="Calibri" w:hAnsi="Calibri"/>
                <w:sz w:val="22"/>
              </w:rPr>
              <w:t>FY2026 Adj. EPS</w:t>
            </w:r>
          </w:p>
        </w:tc>
        <w:tc>
          <w:tcPr>
            <w:tcW w:type="dxa" w:w="1728"/>
          </w:tcPr>
          <w:p>
            <w:r>
              <w:rPr>
                <w:rFonts w:ascii="Calibri" w:hAnsi="Calibri"/>
                <w:sz w:val="22"/>
              </w:rPr>
              <w:t>$8.54 midpoint</w:t>
            </w:r>
          </w:p>
        </w:tc>
        <w:tc>
          <w:tcPr>
            <w:tcW w:type="dxa" w:w="1728"/>
          </w:tcPr>
          <w:p>
            <w:r>
              <w:rPr>
                <w:rFonts w:ascii="Calibri" w:hAnsi="Calibri"/>
                <w:sz w:val="22"/>
              </w:rPr>
              <w:t>$8.64</w:t>
            </w:r>
          </w:p>
        </w:tc>
        <w:tc>
          <w:tcPr>
            <w:tcW w:type="dxa" w:w="1728"/>
          </w:tcPr>
          <w:p>
            <w:r>
              <w:rPr>
                <w:rFonts w:ascii="Calibri" w:hAnsi="Calibri"/>
                <w:sz w:val="22"/>
              </w:rPr>
              <w:t>+1.2%</w:t>
            </w:r>
          </w:p>
        </w:tc>
        <w:tc>
          <w:tcPr>
            <w:tcW w:type="dxa" w:w="1728"/>
          </w:tcPr>
          <w:p>
            <w:r>
              <w:rPr>
                <w:rFonts w:ascii="Calibri" w:hAnsi="Calibri"/>
                <w:sz w:val="22"/>
              </w:rPr>
              <w:t>↑ Street embedding small H2 beat</w:t>
            </w:r>
          </w:p>
        </w:tc>
      </w:tr>
    </w:tbl>
    <w:p>
      <w:r>
        <w:rPr>
          <w:rFonts w:ascii="Calibri" w:hAnsi="Calibri"/>
          <w:i/>
          <w:color w:val="525866"/>
          <w:sz w:val="22"/>
        </w:rPr>
        <w:t>Source: Visible Alpha Consensus and Actuals Data; EFX Q1 2026 Earnings Call (April 21, 2026).</w:t>
      </w:r>
    </w:p>
    <w:p>
      <w:r>
        <w:rPr>
          <w:rFonts w:ascii="Calibri" w:hAnsi="Calibri"/>
          <w:b/>
          <w:color w:val="525866"/>
          <w:sz w:val="22"/>
        </w:rPr>
        <w:t xml:space="preserve">Interpretation: </w:t>
      </w:r>
      <w:r>
        <w:rPr>
          <w:rFonts w:ascii="Calibri" w:hAnsi="Calibri"/>
          <w:color w:val="525866"/>
          <w:sz w:val="22"/>
        </w:rPr>
        <w:t>The revision picture is benign. Consensus is not running ahead of guidance (which would create a high bar), nor is it collapsing below guidance (which would signal fundamental concern). The FY2026 EPS consensus of $8.64 vs. guidance of $8.54 implies the street expects EFX to beat-and-raise at least once more in 2026, likely at Q2 or Q3 earnings. The key risk to this embedded expectation is a sustained mortgage rate spike that keeps origination volumes below the low-single-digit decline assumption embedded in management's guidance.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EFX has significantly underperformed both the S&amp;P 500 and peer SPGI since Q1 2026 earnings, falling ~6.4% vs. the S&amp;P 500’s +5.4% gain — a ~12 percentage point gap that appears driven by macro mortgage uncertainty rather than fundamental deterioration, creating an asymmetric setup into Q2 results.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EFX vs. SPGI vs. S&amp;P 500 (SPY) — Indexed to 100 at Q1 2026 Earnings Date (April 21, 2026). Source: Stock Price Data.</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EFX</w:t>
            </w:r>
          </w:p>
        </w:tc>
        <w:tc>
          <w:tcPr>
            <w:tcW w:type="dxa" w:w="2160"/>
            <w:shd w:val="clear" w:color="auto" w:fill="3B4259"/>
          </w:tcPr>
          <w:p>
            <w:r>
              <w:rPr>
                <w:rFonts w:ascii="Calibri" w:hAnsi="Calibri"/>
                <w:b/>
                <w:color w:val="FFFFFF"/>
                <w:sz w:val="22"/>
              </w:rPr>
              <w:t>SPGI (Peer)</w:t>
            </w:r>
          </w:p>
        </w:tc>
        <w:tc>
          <w:tcPr>
            <w:tcW w:type="dxa" w:w="2160"/>
            <w:shd w:val="clear" w:color="auto" w:fill="3B4259"/>
          </w:tcPr>
          <w:p>
            <w:r>
              <w:rPr>
                <w:rFonts w:ascii="Calibri" w:hAnsi="Calibri"/>
                <w:b/>
                <w:color w:val="FFFFFF"/>
                <w:sz w:val="22"/>
              </w:rPr>
              <w:t>S&amp;P 500 (SPY)</w:t>
            </w:r>
          </w:p>
        </w:tc>
      </w:tr>
      <w:tr>
        <w:tc>
          <w:tcPr>
            <w:tcW w:type="dxa" w:w="2160"/>
          </w:tcPr>
          <w:p>
            <w:r>
              <w:rPr>
                <w:rFonts w:ascii="Calibri" w:hAnsi="Calibri"/>
                <w:sz w:val="22"/>
              </w:rPr>
              <w:t>Price at Q1 Earnings (Apr 21, 2026)</w:t>
            </w:r>
          </w:p>
        </w:tc>
        <w:tc>
          <w:tcPr>
            <w:tcW w:type="dxa" w:w="2160"/>
          </w:tcPr>
          <w:p>
            <w:r>
              <w:rPr>
                <w:rFonts w:ascii="Calibri" w:hAnsi="Calibri"/>
                <w:sz w:val="22"/>
              </w:rPr>
              <w:t>$192.42</w:t>
            </w:r>
          </w:p>
        </w:tc>
        <w:tc>
          <w:tcPr>
            <w:tcW w:type="dxa" w:w="2160"/>
          </w:tcPr>
          <w:p>
            <w:r>
              <w:rPr>
                <w:rFonts w:ascii="Calibri" w:hAnsi="Calibri"/>
                <w:sz w:val="22"/>
              </w:rPr>
              <w:t>$444.67</w:t>
            </w:r>
          </w:p>
        </w:tc>
        <w:tc>
          <w:tcPr>
            <w:tcW w:type="dxa" w:w="2160"/>
          </w:tcPr>
          <w:p>
            <w:r>
              <w:rPr>
                <w:rFonts w:ascii="Calibri" w:hAnsi="Calibri"/>
                <w:sz w:val="22"/>
              </w:rPr>
              <w:t>$704.08</w:t>
            </w:r>
          </w:p>
        </w:tc>
      </w:tr>
      <w:tr>
        <w:tc>
          <w:tcPr>
            <w:tcW w:type="dxa" w:w="2160"/>
          </w:tcPr>
          <w:p>
            <w:r>
              <w:rPr>
                <w:rFonts w:ascii="Calibri" w:hAnsi="Calibri"/>
                <w:sz w:val="22"/>
              </w:rPr>
              <w:t>Price Today (Jul 20, 2026)</w:t>
            </w:r>
          </w:p>
        </w:tc>
        <w:tc>
          <w:tcPr>
            <w:tcW w:type="dxa" w:w="2160"/>
          </w:tcPr>
          <w:p>
            <w:r>
              <w:rPr>
                <w:rFonts w:ascii="Calibri" w:hAnsi="Calibri"/>
                <w:sz w:val="22"/>
              </w:rPr>
              <w:t>$180.08</w:t>
            </w:r>
          </w:p>
        </w:tc>
        <w:tc>
          <w:tcPr>
            <w:tcW w:type="dxa" w:w="2160"/>
          </w:tcPr>
          <w:p>
            <w:r>
              <w:rPr>
                <w:rFonts w:ascii="Calibri" w:hAnsi="Calibri"/>
                <w:sz w:val="22"/>
              </w:rPr>
              <w:t>$448.35</w:t>
            </w:r>
          </w:p>
        </w:tc>
        <w:tc>
          <w:tcPr>
            <w:tcW w:type="dxa" w:w="2160"/>
          </w:tcPr>
          <w:p>
            <w:r>
              <w:rPr>
                <w:rFonts w:ascii="Calibri" w:hAnsi="Calibri"/>
                <w:sz w:val="22"/>
              </w:rPr>
              <w:t>$742.09</w:t>
            </w:r>
          </w:p>
        </w:tc>
      </w:tr>
      <w:tr>
        <w:tc>
          <w:tcPr>
            <w:tcW w:type="dxa" w:w="2160"/>
          </w:tcPr>
          <w:p>
            <w:r>
              <w:rPr>
                <w:rFonts w:ascii="Calibri" w:hAnsi="Calibri"/>
                <w:sz w:val="22"/>
              </w:rPr>
              <w:t>Return Since Q1 Earnings</w:t>
            </w:r>
          </w:p>
        </w:tc>
        <w:tc>
          <w:tcPr>
            <w:tcW w:type="dxa" w:w="2160"/>
          </w:tcPr>
          <w:p>
            <w:r>
              <w:rPr>
                <w:rFonts w:ascii="Calibri" w:hAnsi="Calibri"/>
                <w:b/>
                <w:color w:val="E5484D"/>
                <w:sz w:val="22"/>
              </w:rPr>
              <w:t>-6.4%</w:t>
            </w:r>
          </w:p>
        </w:tc>
        <w:tc>
          <w:tcPr>
            <w:tcW w:type="dxa" w:w="2160"/>
          </w:tcPr>
          <w:p>
            <w:r>
              <w:rPr>
                <w:rFonts w:ascii="Calibri" w:hAnsi="Calibri"/>
                <w:sz w:val="22"/>
              </w:rPr>
              <w:t>+0.8%</w:t>
            </w:r>
          </w:p>
        </w:tc>
        <w:tc>
          <w:tcPr>
            <w:tcW w:type="dxa" w:w="2160"/>
          </w:tcPr>
          <w:p>
            <w:r>
              <w:rPr>
                <w:rFonts w:ascii="Calibri" w:hAnsi="Calibri"/>
                <w:sz w:val="22"/>
              </w:rPr>
              <w:t>+5.4%</w:t>
            </w:r>
          </w:p>
        </w:tc>
      </w:tr>
      <w:tr>
        <w:tc>
          <w:tcPr>
            <w:tcW w:type="dxa" w:w="2160"/>
          </w:tcPr>
          <w:p>
            <w:r>
              <w:rPr>
                <w:rFonts w:ascii="Calibri" w:hAnsi="Calibri"/>
                <w:sz w:val="22"/>
              </w:rPr>
              <w:t>52-Week Low / High</w:t>
            </w:r>
          </w:p>
        </w:tc>
        <w:tc>
          <w:tcPr>
            <w:tcW w:type="dxa" w:w="2160"/>
          </w:tcPr>
          <w:p>
            <w:r>
              <w:rPr>
                <w:rFonts w:ascii="Calibri" w:hAnsi="Calibri"/>
                <w:sz w:val="22"/>
              </w:rPr>
              <w:t>~$151.93 / ~$198.45</w:t>
            </w:r>
          </w:p>
        </w:tc>
        <w:tc>
          <w:tcPr>
            <w:tcW w:type="dxa" w:w="2160"/>
          </w:tcPr>
          <w:p>
            <w:r>
              <w:rPr>
                <w:rFonts w:ascii="Calibri" w:hAnsi="Calibri"/>
                <w:sz w:val="22"/>
              </w:rPr>
              <w:t>N/A</w:t>
            </w:r>
          </w:p>
        </w:tc>
        <w:tc>
          <w:tcPr>
            <w:tcW w:type="dxa" w:w="2160"/>
          </w:tcPr>
          <w:p>
            <w:r>
              <w:rPr>
                <w:rFonts w:ascii="Calibri" w:hAnsi="Calibri"/>
                <w:sz w:val="22"/>
              </w:rPr>
              <w:t>N/A</w:t>
            </w:r>
          </w:p>
        </w:tc>
      </w:tr>
      <w:tr>
        <w:tc>
          <w:tcPr>
            <w:tcW w:type="dxa" w:w="2160"/>
          </w:tcPr>
          <w:p>
            <w:r>
              <w:rPr>
                <w:rFonts w:ascii="Calibri" w:hAnsi="Calibri"/>
                <w:sz w:val="22"/>
              </w:rPr>
              <w:t>Current vs. 52-Week Low</w:t>
            </w:r>
          </w:p>
        </w:tc>
        <w:tc>
          <w:tcPr>
            <w:tcW w:type="dxa" w:w="2160"/>
          </w:tcPr>
          <w:p>
            <w:r>
              <w:rPr>
                <w:rFonts w:ascii="Calibri" w:hAnsi="Calibri"/>
                <w:sz w:val="22"/>
              </w:rPr>
              <w:t>+18.5% off lows (Jun 25 low)</w:t>
            </w:r>
          </w:p>
        </w:tc>
        <w:tc>
          <w:tcPr>
            <w:tcW w:type="dxa" w:w="2160"/>
          </w:tcPr>
          <w:p>
            <w:r>
              <w:rPr>
                <w:rFonts w:ascii="Calibri" w:hAnsi="Calibri"/>
                <w:sz w:val="22"/>
              </w:rPr>
              <w:t>N/A</w:t>
            </w:r>
          </w:p>
        </w:tc>
        <w:tc>
          <w:tcPr>
            <w:tcW w:type="dxa" w:w="2160"/>
          </w:tcPr>
          <w:p>
            <w:r>
              <w:rPr>
                <w:rFonts w:ascii="Calibri" w:hAnsi="Calibri"/>
                <w:sz w:val="22"/>
              </w:rPr>
              <w:t>N/A</w:t>
            </w:r>
          </w:p>
        </w:tc>
      </w:tr>
    </w:tbl>
    <w:p>
      <w:r>
        <w:rPr>
          <w:rFonts w:ascii="Calibri" w:hAnsi="Calibri"/>
          <w:i/>
          <w:color w:val="525866"/>
          <w:sz w:val="22"/>
        </w:rPr>
        <w:t>Source: Stock Price Data.</w:t>
      </w:r>
    </w:p>
    <w:p>
      <w:r>
        <w:rPr>
          <w:rFonts w:ascii="Calibri" w:hAnsi="Calibri"/>
          <w:b/>
          <w:color w:val="525866"/>
          <w:sz w:val="22"/>
        </w:rPr>
        <w:t xml:space="preserve">Stock Setup Analysis: </w:t>
      </w:r>
      <w:r>
        <w:rPr>
          <w:rFonts w:ascii="Calibri" w:hAnsi="Calibri"/>
          <w:color w:val="525866"/>
          <w:sz w:val="22"/>
        </w:rPr>
        <w:t>EFX hit a post-Q1 intraday low of ~$151.93 on June 25, 2026 — a ~21% drawdown from the Q1 earnings close — before recovering to ~$180 today. The recovery from the lows (+18.5%) coincides with the July 2 date (likely driven by broader market recovery and the July 7 Círculo de Crédito acquisition announcement). The stock remains well below its Q1 earnings-day close, suggesting the market has not priced in a Q2 beat. At current levels, EFX trades at a meaningful discount to its historical post-cloud-transformation multiple, and any positive surprise on mortgage volumes, VantageScore conversion commentary, or AI productivity savings could catalyze a re-rating toward the $190–$200 range.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significant post-Q1 development is the $750M acquisition of Círculo de Crédito, which signals management’s confidence in free cash flow generation and strategic M&amp;A capacity even as the stock has de-rated. The VantageScore activation by FHFA/HUD is the most important structural positive for the long-term thesis.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Date</w:t>
            </w:r>
          </w:p>
        </w:tc>
        <w:tc>
          <w:tcPr>
            <w:tcW w:type="dxa" w:w="2880"/>
            <w:shd w:val="clear" w:color="auto" w:fill="3B4259"/>
          </w:tcPr>
          <w:p>
            <w:r>
              <w:rPr>
                <w:rFonts w:ascii="Calibri" w:hAnsi="Calibri"/>
                <w:b/>
                <w:color w:val="FFFFFF"/>
                <w:sz w:val="22"/>
              </w:rPr>
              <w:t>Event</w:t>
            </w:r>
          </w:p>
        </w:tc>
        <w:tc>
          <w:tcPr>
            <w:tcW w:type="dxa" w:w="2880"/>
            <w:shd w:val="clear" w:color="auto" w:fill="3B4259"/>
          </w:tcPr>
          <w:p>
            <w:r>
              <w:rPr>
                <w:rFonts w:ascii="Calibri" w:hAnsi="Calibri"/>
                <w:b/>
                <w:color w:val="FFFFFF"/>
                <w:sz w:val="22"/>
              </w:rPr>
              <w:t>Significance</w:t>
            </w:r>
          </w:p>
        </w:tc>
      </w:tr>
      <w:tr>
        <w:tc>
          <w:tcPr>
            <w:tcW w:type="dxa" w:w="2880"/>
          </w:tcPr>
          <w:p>
            <w:r>
              <w:rPr>
                <w:rFonts w:ascii="Calibri" w:hAnsi="Calibri"/>
                <w:sz w:val="22"/>
              </w:rPr>
              <w:t>Jul 7, 2026</w:t>
            </w:r>
          </w:p>
        </w:tc>
        <w:tc>
          <w:tcPr>
            <w:tcW w:type="dxa" w:w="2880"/>
          </w:tcPr>
          <w:p>
            <w:r>
              <w:rPr>
                <w:rFonts w:ascii="Calibri" w:hAnsi="Calibri"/>
                <w:sz w:val="22"/>
              </w:rPr>
              <w:t>Equifax announces definitive agreement to acquire Círculo de Crédito (Mexico) for $750M EV ($825M purchase price). LTM revenue $134M (+31%), Adjusted EBITDA $62M. Expected to close Q4 2026; EPS-accretive in year one.</w:t>
            </w:r>
          </w:p>
        </w:tc>
        <w:tc>
          <w:tcPr>
            <w:tcW w:type="dxa" w:w="2880"/>
          </w:tcPr>
          <w:p>
            <w:r>
              <w:rPr>
                <w:rFonts w:ascii="Calibri" w:hAnsi="Calibri"/>
                <w:sz w:val="22"/>
              </w:rPr>
              <w:t>HIGH — 17th bolt-on in 6 years; expands into Mexico (2nd-largest LatAm economy); adds alternative data (gig economy, utility payments). Signals confidence in FCF generation.</w:t>
            </w:r>
          </w:p>
        </w:tc>
      </w:tr>
      <w:tr>
        <w:tc>
          <w:tcPr>
            <w:tcW w:type="dxa" w:w="2880"/>
          </w:tcPr>
          <w:p>
            <w:r>
              <w:rPr>
                <w:rFonts w:ascii="Calibri" w:hAnsi="Calibri"/>
                <w:sz w:val="22"/>
              </w:rPr>
              <w:t>Jul 7, 2026</w:t>
            </w:r>
          </w:p>
        </w:tc>
        <w:tc>
          <w:tcPr>
            <w:tcW w:type="dxa" w:w="2880"/>
          </w:tcPr>
          <w:p>
            <w:r>
              <w:rPr>
                <w:rFonts w:ascii="Calibri" w:hAnsi="Calibri"/>
                <w:sz w:val="22"/>
              </w:rPr>
              <w:t>Equifax announces Q2 2026 earnings release date and conference call.</w:t>
            </w:r>
          </w:p>
        </w:tc>
        <w:tc>
          <w:tcPr>
            <w:tcW w:type="dxa" w:w="2880"/>
          </w:tcPr>
          <w:p>
            <w:r>
              <w:rPr>
                <w:rFonts w:ascii="Calibri" w:hAnsi="Calibri"/>
                <w:sz w:val="22"/>
              </w:rPr>
              <w:t>LOW — Administrative; confirms late July reporting timeline.</w:t>
            </w:r>
          </w:p>
        </w:tc>
      </w:tr>
      <w:tr>
        <w:tc>
          <w:tcPr>
            <w:tcW w:type="dxa" w:w="2880"/>
          </w:tcPr>
          <w:p>
            <w:r>
              <w:rPr>
                <w:rFonts w:ascii="Calibri" w:hAnsi="Calibri"/>
                <w:sz w:val="22"/>
              </w:rPr>
              <w:t>Apr 24, 2026</w:t>
            </w:r>
          </w:p>
        </w:tc>
        <w:tc>
          <w:tcPr>
            <w:tcW w:type="dxa" w:w="2880"/>
          </w:tcPr>
          <w:p>
            <w:r>
              <w:rPr>
                <w:rFonts w:ascii="Calibri" w:hAnsi="Calibri"/>
                <w:sz w:val="22"/>
              </w:rPr>
              <w:t>Equifax boosts revolving credit facility to $2 billion and extends maturity.</w:t>
            </w:r>
          </w:p>
        </w:tc>
        <w:tc>
          <w:tcPr>
            <w:tcW w:type="dxa" w:w="2880"/>
          </w:tcPr>
          <w:p>
            <w:r>
              <w:rPr>
                <w:rFonts w:ascii="Calibri" w:hAnsi="Calibri"/>
                <w:sz w:val="22"/>
              </w:rPr>
              <w:t>MEDIUM — Increases financial flexibility for M&amp;A and capital return; consistent with the Círculo de Crédito acquisition announced in July.</w:t>
            </w:r>
          </w:p>
        </w:tc>
      </w:tr>
      <w:tr>
        <w:tc>
          <w:tcPr>
            <w:tcW w:type="dxa" w:w="2880"/>
          </w:tcPr>
          <w:p>
            <w:r>
              <w:rPr>
                <w:rFonts w:ascii="Calibri" w:hAnsi="Calibri"/>
                <w:sz w:val="22"/>
              </w:rPr>
              <w:t>Apr 22, 2026</w:t>
            </w:r>
          </w:p>
        </w:tc>
        <w:tc>
          <w:tcPr>
            <w:tcW w:type="dxa" w:w="2880"/>
          </w:tcPr>
          <w:p>
            <w:r>
              <w:rPr>
                <w:rFonts w:ascii="Calibri" w:hAnsi="Calibri"/>
                <w:sz w:val="22"/>
              </w:rPr>
              <w:t>FHFA and HUD formally activate VantageScore 4.0 for agency originations (Fannie Mae, Freddie Mac, FHA). Over 240 lenders now ingesting the free VantageScore alongside paid FICO.</w:t>
            </w:r>
          </w:p>
        </w:tc>
        <w:tc>
          <w:tcPr>
            <w:tcW w:type="dxa" w:w="2880"/>
          </w:tcPr>
          <w:p>
            <w:r>
              <w:rPr>
                <w:rFonts w:ascii="Calibri" w:hAnsi="Calibri"/>
                <w:sz w:val="22"/>
              </w:rPr>
              <w:t>HIGH — Removes the key timing uncertainty for VantageScore conversion. Full conversion at current volumes would add ~$35M annual EBITDA at full margin. 2026 guidance assumes zero conversion — any adoption is pure upside.</w:t>
            </w:r>
          </w:p>
        </w:tc>
      </w:tr>
      <w:tr>
        <w:tc>
          <w:tcPr>
            <w:tcW w:type="dxa" w:w="2880"/>
          </w:tcPr>
          <w:p>
            <w:r>
              <w:rPr>
                <w:rFonts w:ascii="Calibri" w:hAnsi="Calibri"/>
                <w:sz w:val="22"/>
              </w:rPr>
              <w:t>Apr 21, 2026</w:t>
            </w:r>
          </w:p>
        </w:tc>
        <w:tc>
          <w:tcPr>
            <w:tcW w:type="dxa" w:w="2880"/>
          </w:tcPr>
          <w:p>
            <w:r>
              <w:rPr>
                <w:rFonts w:ascii="Calibri" w:hAnsi="Calibri"/>
                <w:sz w:val="22"/>
              </w:rPr>
              <w:t>Q1 2026 earnings: Record quarterly revenue of $1.649B (+14% YoY), $37M above guidance midpoint. Adj. EPS $1.86 vs. $1.71 consensus. Full-year guidance held on CC basis; raised $25M on reported basis for FX.</w:t>
            </w:r>
          </w:p>
        </w:tc>
        <w:tc>
          <w:tcPr>
            <w:tcW w:type="dxa" w:w="2880"/>
          </w:tcPr>
          <w:p>
            <w:r>
              <w:rPr>
                <w:rFonts w:ascii="Calibri" w:hAnsi="Calibri"/>
                <w:sz w:val="22"/>
              </w:rPr>
              <w:t>HIGH — Establishes the baseline. Mortgage outperformance was the primary driver. Management’s decision to hold guidance despite the large beat was the key narrative tension.</w:t>
            </w:r>
          </w:p>
        </w:tc>
      </w:tr>
      <w:tr>
        <w:tc>
          <w:tcPr>
            <w:tcW w:type="dxa" w:w="2880"/>
          </w:tcPr>
          <w:p>
            <w:r>
              <w:rPr>
                <w:rFonts w:ascii="Calibri" w:hAnsi="Calibri"/>
                <w:sz w:val="22"/>
              </w:rPr>
              <w:t>Apr 2026</w:t>
            </w:r>
          </w:p>
        </w:tc>
        <w:tc>
          <w:tcPr>
            <w:tcW w:type="dxa" w:w="2880"/>
          </w:tcPr>
          <w:p>
            <w:r>
              <w:rPr>
                <w:rFonts w:ascii="Calibri" w:hAnsi="Calibri"/>
                <w:sz w:val="22"/>
              </w:rPr>
              <w:t>TWN Indicator launched for auto lenders and personal loan verticals. Telco, utility, and pay TV attributes added to mortgage credit file at no cost alongside TWN Indicator.</w:t>
            </w:r>
          </w:p>
        </w:tc>
        <w:tc>
          <w:tcPr>
            <w:tcW w:type="dxa" w:w="2880"/>
          </w:tcPr>
          <w:p>
            <w:r>
              <w:rPr>
                <w:rFonts w:ascii="Calibri" w:hAnsi="Calibri"/>
                <w:sz w:val="22"/>
              </w:rPr>
              <w:t>MEDIUM — Expands TWN Indicator TAM beyond mortgage; drives share gains in auto and personal loan verticals. Supports EWS Verification Services growth trajectory.</w:t>
            </w:r>
          </w:p>
        </w:tc>
      </w:tr>
    </w:tbl>
    <w:p>
      <w:r>
        <w:br w:type="page"/>
      </w:r>
    </w:p>
    <w:p>
      <w:pPr>
        <w:pStyle w:val="Heading2"/>
      </w:pPr>
      <w:r>
        <w:rPr>
          <w:rFonts w:ascii="Calibri" w:hAnsi="Calibri"/>
          <w:b/>
          <w:color w:val="3B4259"/>
          <w:sz w:val="28"/>
        </w:rPr>
        <w:t>7. Peer Commentaries &amp; Read-Throughs (Last 60 Days — Q2 2026 Relevant)</w:t>
      </w:r>
    </w:p>
    <w:p>
      <w:r>
        <w:rPr>
          <w:rFonts w:ascii="Calibri" w:hAnsi="Calibri"/>
          <w:b/>
          <w:color w:val="525866"/>
          <w:sz w:val="22"/>
        </w:rPr>
        <w:t xml:space="preserve">Key Takeaway: </w:t>
      </w:r>
      <w:r>
        <w:rPr>
          <w:rFonts w:ascii="Calibri" w:hAnsi="Calibri"/>
          <w:color w:val="525866"/>
          <w:sz w:val="22"/>
        </w:rPr>
        <w:t>Peer commentary from FICO (Q2 FY2026 earnings, April 28), TransUnion (Q1 2026 earnings, April 28), and Moody’s (Q1 2026 earnings, April 22) all point to a constructive mortgage market environment in Q2 2026, with FICO’s 127% YoY surge in mortgage origination revenues and TransUnion’s U.S. Financial Services growth providing the most direct positive read-through for EFX’s Q2 print.</w:t>
      </w:r>
    </w:p>
    <w:p>
      <w:r>
        <w:rPr>
          <w:rFonts w:ascii="Calibri" w:hAnsi="Calibri"/>
          <w:b/>
          <w:i/>
          <w:color w:val="525866"/>
          <w:sz w:val="22"/>
        </w:rPr>
        <w:t xml:space="preserve">Note on scope: </w:t>
      </w:r>
      <w:r>
        <w:rPr>
          <w:rFonts w:ascii="Calibri" w:hAnsi="Calibri"/>
          <w:i/>
          <w:color w:val="525866"/>
          <w:sz w:val="22"/>
        </w:rPr>
        <w:t>Only commentary from peers reporting after EFX’s Q1 2026 earnings (April 21, 2026) that speaks to Q2 2026 conditions or the current operating environment is included below. Prior-quarter results commentary (e.g., peers discussing their own Q4 2025 results) is excluded.</w:t>
      </w:r>
    </w:p>
    <w:p>
      <w:pPr>
        <w:pStyle w:val="Heading3"/>
      </w:pPr>
      <w:r>
        <w:rPr>
          <w:rFonts w:ascii="Calibri" w:hAnsi="Calibri"/>
          <w:b/>
          <w:color w:val="3B4259"/>
          <w:sz w:val="24"/>
        </w:rPr>
        <w:t>7.1 FICO (Fair Isaac Corporation) — Q2 FY2026 Earnings Call (April 28, 2026)</w:t>
      </w:r>
    </w:p>
    <w:p>
      <w:r>
        <w:rPr>
          <w:rFonts w:ascii="Calibri" w:hAnsi="Calibri"/>
          <w:b/>
          <w:color w:val="525866"/>
          <w:sz w:val="22"/>
        </w:rPr>
        <w:t xml:space="preserve">Read-Through Relevance: </w:t>
      </w:r>
      <w:r>
        <w:rPr>
          <w:rFonts w:ascii="Calibri" w:hAnsi="Calibri"/>
          <w:b/>
          <w:color w:val="525866"/>
          <w:sz w:val="22"/>
        </w:rPr>
        <w:t xml:space="preserve">VERY HIGH. </w:t>
      </w:r>
      <w:r>
        <w:rPr>
          <w:rFonts w:ascii="Calibri" w:hAnsi="Calibri"/>
          <w:color w:val="525866"/>
          <w:sz w:val="22"/>
        </w:rPr>
        <w:t>FICO is the most direct read-through for EFX’s mortgage revenue line. FICO’s Scores segment revenue is driven by the same mortgage origination volumes that flow through EFX’s USIS and EWS Verification Services mortgage verticals. FICO’s commentary on Q2 mortgage volumes, pricing dynamics, and VantageScore/FICO 10T transition is directly applicable to EFX’s Q2 setup.</w:t>
      </w:r>
    </w:p>
    <w:p>
      <w:pPr>
        <w:pStyle w:val="ListBullet"/>
        <w:ind w:left="360" w:hanging="360"/>
      </w:pPr>
      <w:r>
        <w:rPr>
          <w:rFonts w:ascii="Calibri" w:hAnsi="Calibri"/>
          <w:b/>
          <w:color w:val="525866"/>
          <w:sz w:val="22"/>
        </w:rPr>
        <w:t xml:space="preserve">Mortgage volumes better than expected in Q2: </w:t>
      </w:r>
      <w:r>
        <w:rPr>
          <w:rFonts w:ascii="Calibri" w:hAnsi="Calibri"/>
          <w:color w:val="525866"/>
          <w:sz w:val="22"/>
        </w:rPr>
        <w:t>FICO reported Q2 FY2026 (calendar Q1 2026) Scores segment revenue of $475M, up 60% YoY, with B2B revenues up 72% driven by higher mortgage origination scores unit price and volume. Mortgage originations revenues alone were up 127% YoY, accounting for 72% of B2B revenue and 63% of total Scores revenue. Management noted: "it was a decent volume quarter, probably better than we expected when we gave our guidance" and attributed part of the upside to a period where interest rates dropped slightly. This is a direct positive read-through for EFX’s Q2 mortgage revenue.</w:t>
      </w:r>
    </w:p>
    <w:p>
      <w:pPr>
        <w:pStyle w:val="ListBullet"/>
        <w:ind w:left="360" w:hanging="360"/>
      </w:pPr>
      <w:r>
        <w:rPr>
          <w:rFonts w:ascii="Calibri" w:hAnsi="Calibri"/>
          <w:b/>
          <w:color w:val="525866"/>
          <w:sz w:val="22"/>
        </w:rPr>
        <w:t xml:space="preserve">Rate environment: </w:t>
      </w:r>
      <w:r>
        <w:rPr>
          <w:rFonts w:ascii="Calibri" w:hAnsi="Calibri"/>
          <w:color w:val="525866"/>
          <w:sz w:val="22"/>
        </w:rPr>
        <w:t>FICO noted: "There was a period of time where interest rates dropped a little bit. We saw a little bit of an uptick here and I think it’s consistent with what you hear from the bureaus as well." This corroborates EFX management’s Q1 commentary that March/April saw rate-driven volume dampening, but suggests volumes recovered somewhat in the quarter.</w:t>
      </w:r>
    </w:p>
    <w:p>
      <w:pPr>
        <w:pStyle w:val="ListBullet"/>
        <w:ind w:left="360" w:hanging="360"/>
      </w:pPr>
      <w:r>
        <w:rPr>
          <w:rFonts w:ascii="Calibri" w:hAnsi="Calibri"/>
          <w:b/>
          <w:color w:val="525866"/>
          <w:sz w:val="22"/>
        </w:rPr>
        <w:t xml:space="preserve">FICO 10T / VantageScore transition dynamics: </w:t>
      </w:r>
      <w:r>
        <w:rPr>
          <w:rFonts w:ascii="Calibri" w:hAnsi="Calibri"/>
          <w:color w:val="525866"/>
          <w:sz w:val="22"/>
        </w:rPr>
        <w:t>FICO updated FICO Score 10T pricing in its mortgage direct licensing program from "$4.95 per score plus $33 funding fee" to "$0.99 per score plus $65 funding fee" — a performance model designed to encourage adoption and distribute monetization across the value chain. Three of the top five major resellers have signed up for the direct license program. FHFA final sign-off is still needed for resellers to calculate the score. FICO has 55 lenders in its FICO Score 10T early adopter program, accounting for &gt;$495B in annual serviceable originations. This pricing restructuring is relevant to EFX because it affects the FICO royalty pass-through revenue that has been distorting EFX’s reported margins.</w:t>
      </w:r>
    </w:p>
    <w:p>
      <w:pPr>
        <w:pStyle w:val="ListBullet"/>
        <w:ind w:left="360" w:hanging="360"/>
      </w:pPr>
      <w:r>
        <w:rPr>
          <w:rFonts w:ascii="Calibri" w:hAnsi="Calibri"/>
          <w:b/>
          <w:color w:val="525866"/>
          <w:sz w:val="22"/>
        </w:rPr>
        <w:t xml:space="preserve">Full-year guidance raised: </w:t>
      </w:r>
      <w:r>
        <w:rPr>
          <w:rFonts w:ascii="Calibri" w:hAnsi="Calibri"/>
          <w:color w:val="525866"/>
          <w:sz w:val="22"/>
        </w:rPr>
        <w:t>FICO raised FY2026 revenue guidance to $2.45B (+23% YoY) and non-GAAP EPS to $40.45 (+35% YoY), reflecting confidence in sustained mortgage market activity and pricing power. This is a positive leading indicator for EFX’s mortgage-exposed revenue lines.</w:t>
      </w:r>
    </w:p>
    <w:p>
      <w:pPr>
        <w:pStyle w:val="ListBullet"/>
        <w:ind w:left="360" w:hanging="360"/>
      </w:pPr>
      <w:r>
        <w:rPr>
          <w:rFonts w:ascii="Calibri" w:hAnsi="Calibri"/>
          <w:b/>
          <w:color w:val="525866"/>
          <w:sz w:val="22"/>
        </w:rPr>
        <w:t xml:space="preserve">Non-GAAP operating margin: </w:t>
      </w:r>
      <w:r>
        <w:rPr>
          <w:rFonts w:ascii="Calibri" w:hAnsi="Calibri"/>
          <w:color w:val="525866"/>
          <w:sz w:val="22"/>
        </w:rPr>
        <w:t>FICO delivered 65% non-GAAP operating margin in Q2 FY2026, a 712 bps expansion YoY, demonstrating the operating leverage available in data/analytics businesses when volumes recover — a template for what EFX’s ex-FICO margin trajectory could look like in a full mortgage recovery.</w:t>
      </w:r>
    </w:p>
    <w:p>
      <w:pPr>
        <w:pStyle w:val="Heading3"/>
      </w:pPr>
      <w:r>
        <w:rPr>
          <w:rFonts w:ascii="Calibri" w:hAnsi="Calibri"/>
          <w:b/>
          <w:color w:val="3B4259"/>
          <w:sz w:val="24"/>
        </w:rPr>
        <w:t>7.2 TransUnion (TRU) — Q1 2026 Earnings Call (April 28, 2026)</w:t>
      </w:r>
    </w:p>
    <w:p>
      <w:r>
        <w:rPr>
          <w:rFonts w:ascii="Calibri" w:hAnsi="Calibri"/>
          <w:b/>
          <w:color w:val="525866"/>
          <w:sz w:val="22"/>
        </w:rPr>
        <w:t xml:space="preserve">Read-Through Relevance: </w:t>
      </w:r>
      <w:r>
        <w:rPr>
          <w:rFonts w:ascii="Calibri" w:hAnsi="Calibri"/>
          <w:b/>
          <w:color w:val="525866"/>
          <w:sz w:val="22"/>
        </w:rPr>
        <w:t xml:space="preserve">HIGH. </w:t>
      </w:r>
      <w:r>
        <w:rPr>
          <w:rFonts w:ascii="Calibri" w:hAnsi="Calibri"/>
          <w:color w:val="525866"/>
          <w:sz w:val="22"/>
        </w:rPr>
        <w:t>TransUnion is EFX’s most direct credit bureau peer, competing in the same U.S. consumer credit, mortgage, auto, and financial services verticals. TRU’s Q1 2026 results and Q2 2026 outlook commentary provide the most comparable read-through for EFX’s USIS segment and overall U.S. financial services demand environment.</w:t>
      </w:r>
    </w:p>
    <w:p>
      <w:pPr>
        <w:pStyle w:val="ListBullet"/>
        <w:ind w:left="360" w:hanging="360"/>
      </w:pPr>
      <w:r>
        <w:rPr>
          <w:rFonts w:ascii="Calibri" w:hAnsi="Calibri"/>
          <w:b/>
          <w:color w:val="525866"/>
          <w:sz w:val="22"/>
        </w:rPr>
        <w:t xml:space="preserve">U.S. Financial Services demand: </w:t>
      </w:r>
      <w:r>
        <w:rPr>
          <w:rFonts w:ascii="Calibri" w:hAnsi="Calibri"/>
          <w:color w:val="525866"/>
          <w:sz w:val="22"/>
        </w:rPr>
        <w:t>TransUnion reported Q1 2026 results that beat consensus, driven by strength in U.S. Financial Services. Management’s commentary on mortgage, auto, and personal loan inquiry volumes in Q1 2026 and the Q2 2026 outlook is a direct read-through for EFX’s USIS Online Information and Mortgage Solutions revenue lines.</w:t>
      </w:r>
    </w:p>
    <w:p>
      <w:pPr>
        <w:pStyle w:val="ListBullet"/>
        <w:ind w:left="360" w:hanging="360"/>
      </w:pPr>
      <w:r>
        <w:rPr>
          <w:rFonts w:ascii="Calibri" w:hAnsi="Calibri"/>
          <w:b/>
          <w:color w:val="525866"/>
          <w:sz w:val="22"/>
        </w:rPr>
        <w:t xml:space="preserve">Mortgage market conditions: </w:t>
      </w:r>
      <w:r>
        <w:rPr>
          <w:rFonts w:ascii="Calibri" w:hAnsi="Calibri"/>
          <w:color w:val="525866"/>
          <w:sz w:val="22"/>
        </w:rPr>
        <w:t>TRU’s commentary on mortgage origination activity in Q1 2026 and the trajectory into Q2 2026 is consistent with FICO’s observation of volumes being "better than expected" — a positive read-through for EFX’s Q2 mortgage revenue, which management guided to be up &gt;20% YoY (high single digits ex-FICO royalties).</w:t>
      </w:r>
    </w:p>
    <w:p>
      <w:pPr>
        <w:pStyle w:val="ListBullet"/>
        <w:ind w:left="360" w:hanging="360"/>
      </w:pPr>
      <w:r>
        <w:rPr>
          <w:rFonts w:ascii="Calibri" w:hAnsi="Calibri"/>
          <w:b/>
          <w:color w:val="525866"/>
          <w:sz w:val="22"/>
        </w:rPr>
        <w:t xml:space="preserve">Competitive dynamics: </w:t>
      </w:r>
      <w:r>
        <w:rPr>
          <w:rFonts w:ascii="Calibri" w:hAnsi="Calibri"/>
          <w:color w:val="525866"/>
          <w:sz w:val="22"/>
        </w:rPr>
        <w:t>Any commentary from TRU on market share shifts in mortgage (particularly around the tri-merge requirement and VantageScore adoption) is directly relevant to EFX’s TWN Indicator share gain narrative. HUD confirmed the tri-merge requirement will continue, which is a structural positive for all three bureaus.</w:t>
      </w:r>
    </w:p>
    <w:p>
      <w:pPr>
        <w:pStyle w:val="ListBullet"/>
        <w:ind w:left="360" w:hanging="360"/>
      </w:pPr>
      <w:r>
        <w:rPr>
          <w:rFonts w:ascii="Calibri" w:hAnsi="Calibri"/>
          <w:b/>
          <w:color w:val="525866"/>
          <w:sz w:val="22"/>
        </w:rPr>
        <w:t xml:space="preserve">International segment: </w:t>
      </w:r>
      <w:r>
        <w:rPr>
          <w:rFonts w:ascii="Calibri" w:hAnsi="Calibri"/>
          <w:color w:val="525866"/>
          <w:sz w:val="22"/>
        </w:rPr>
        <w:t>TRU’s international commentary (particularly on emerging markets and FX dynamics) provides context for EFX’s International segment, which management guided to grow mid-single digits on a constant currency basis in Q2 2026.</w:t>
      </w:r>
    </w:p>
    <w:p>
      <w:pPr>
        <w:pStyle w:val="Heading3"/>
      </w:pPr>
      <w:r>
        <w:rPr>
          <w:rFonts w:ascii="Calibri" w:hAnsi="Calibri"/>
          <w:b/>
          <w:color w:val="3B4259"/>
          <w:sz w:val="24"/>
        </w:rPr>
        <w:t>7.3 Moody’s Corporation (MCO) — Q1 2026 Earnings Call (April 22, 2026) &amp; Generative AI Strategy Call (June 8, 2026)</w:t>
      </w:r>
    </w:p>
    <w:p>
      <w:r>
        <w:rPr>
          <w:rFonts w:ascii="Calibri" w:hAnsi="Calibri"/>
          <w:b/>
          <w:color w:val="525866"/>
          <w:sz w:val="22"/>
        </w:rPr>
        <w:t xml:space="preserve">Read-Through Relevance: </w:t>
      </w:r>
      <w:r>
        <w:rPr>
          <w:rFonts w:ascii="Calibri" w:hAnsi="Calibri"/>
          <w:b/>
          <w:color w:val="525866"/>
          <w:sz w:val="22"/>
        </w:rPr>
        <w:t xml:space="preserve">MEDIUM. </w:t>
      </w:r>
      <w:r>
        <w:rPr>
          <w:rFonts w:ascii="Calibri" w:hAnsi="Calibri"/>
          <w:color w:val="525866"/>
          <w:sz w:val="22"/>
        </w:rPr>
        <w:t>Moody’s is not a direct credit bureau competitor but operates in the adjacent data, analytics, and financial intelligence space. MCO’s commentary on financial market activity, credit issuance volumes, and AI strategy is relevant to EFX’s broader data analytics narrative and the macro environment for financial services demand.</w:t>
      </w:r>
    </w:p>
    <w:p>
      <w:pPr>
        <w:pStyle w:val="ListBullet"/>
        <w:ind w:left="360" w:hanging="360"/>
      </w:pPr>
      <w:r>
        <w:rPr>
          <w:rFonts w:ascii="Calibri" w:hAnsi="Calibri"/>
          <w:b/>
          <w:color w:val="525866"/>
          <w:sz w:val="22"/>
        </w:rPr>
        <w:t xml:space="preserve">Financial market activity: </w:t>
      </w:r>
      <w:r>
        <w:rPr>
          <w:rFonts w:ascii="Calibri" w:hAnsi="Calibri"/>
          <w:color w:val="525866"/>
          <w:sz w:val="22"/>
        </w:rPr>
        <w:t>Moody’s Q1 2026 earnings commentary on debt issuance volumes and financial market activity provides context for the broader financial services demand environment that drives EFX’s USIS Financial Marketing Services and Online Information segments. Strong debt issuance typically correlates with higher credit inquiry volumes.</w:t>
      </w:r>
    </w:p>
    <w:p>
      <w:pPr>
        <w:pStyle w:val="ListBullet"/>
        <w:ind w:left="360" w:hanging="360"/>
      </w:pPr>
      <w:r>
        <w:rPr>
          <w:rFonts w:ascii="Calibri" w:hAnsi="Calibri"/>
          <w:b/>
          <w:color w:val="525866"/>
          <w:sz w:val="22"/>
        </w:rPr>
        <w:t xml:space="preserve">AI strategy and competitive positioning: </w:t>
      </w:r>
      <w:r>
        <w:rPr>
          <w:rFonts w:ascii="Calibri" w:hAnsi="Calibri"/>
          <w:color w:val="525866"/>
          <w:sz w:val="22"/>
        </w:rPr>
        <w:t>Moody’s June 8, 2026 Generative AI Strategy Call is relevant as a read-through for how data/analytics companies are monetizing AI capabilities. MCO’s commentary on AI-powered product development, pricing power, and customer adoption rates provides a benchmark for evaluating EFX’s own AI initiatives (EFX.AI, AI advisors, 450+ AI patents). Both companies are competing to demonstrate that AI investment translates to revenue and margin expansion.</w:t>
      </w:r>
    </w:p>
    <w:p>
      <w:pPr>
        <w:pStyle w:val="ListBullet"/>
        <w:ind w:left="360" w:hanging="360"/>
      </w:pPr>
      <w:r>
        <w:rPr>
          <w:rFonts w:ascii="Calibri" w:hAnsi="Calibri"/>
          <w:b/>
          <w:color w:val="525866"/>
          <w:sz w:val="22"/>
        </w:rPr>
        <w:t xml:space="preserve">Macro credit environment: </w:t>
      </w:r>
      <w:r>
        <w:rPr>
          <w:rFonts w:ascii="Calibri" w:hAnsi="Calibri"/>
          <w:color w:val="525866"/>
          <w:sz w:val="22"/>
        </w:rPr>
        <w:t>MCO’s commentary on credit quality, default rates, and the macro outlook for financial services is relevant to EFX’s government vertical (SSA, improper payments) and its broader credit decisioning business. Any deterioration in credit quality would increase demand for EFX’s verification and analytics products.</w:t>
      </w:r>
    </w:p>
    <w:p>
      <w:pPr>
        <w:pStyle w:val="Heading3"/>
      </w:pPr>
      <w:r>
        <w:rPr>
          <w:rFonts w:ascii="Calibri" w:hAnsi="Calibri"/>
          <w:b/>
          <w:color w:val="3B4259"/>
          <w:sz w:val="24"/>
        </w:rPr>
        <w:t>7.4 Summary Read-Through Matrix</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Event</w:t>
            </w:r>
          </w:p>
        </w:tc>
        <w:tc>
          <w:tcPr>
            <w:tcW w:type="dxa" w:w="1728"/>
            <w:shd w:val="clear" w:color="auto" w:fill="3B4259"/>
          </w:tcPr>
          <w:p>
            <w:r>
              <w:rPr>
                <w:rFonts w:ascii="Calibri" w:hAnsi="Calibri"/>
                <w:b/>
                <w:color w:val="FFFFFF"/>
                <w:sz w:val="22"/>
              </w:rPr>
              <w:t>Key Signal for EFX</w:t>
            </w:r>
          </w:p>
        </w:tc>
        <w:tc>
          <w:tcPr>
            <w:tcW w:type="dxa" w:w="1728"/>
            <w:shd w:val="clear" w:color="auto" w:fill="3B4259"/>
          </w:tcPr>
          <w:p>
            <w:r>
              <w:rPr>
                <w:rFonts w:ascii="Calibri" w:hAnsi="Calibri"/>
                <w:b/>
                <w:color w:val="FFFFFF"/>
                <w:sz w:val="22"/>
              </w:rPr>
              <w:t>Direction</w:t>
            </w:r>
          </w:p>
        </w:tc>
        <w:tc>
          <w:tcPr>
            <w:tcW w:type="dxa" w:w="1728"/>
            <w:shd w:val="clear" w:color="auto" w:fill="3B4259"/>
          </w:tcPr>
          <w:p>
            <w:r>
              <w:rPr>
                <w:rFonts w:ascii="Calibri" w:hAnsi="Calibri"/>
                <w:b/>
                <w:color w:val="FFFFFF"/>
                <w:sz w:val="22"/>
              </w:rPr>
              <w:t>Relevance</w:t>
            </w:r>
          </w:p>
        </w:tc>
      </w:tr>
      <w:tr>
        <w:tc>
          <w:tcPr>
            <w:tcW w:type="dxa" w:w="1728"/>
          </w:tcPr>
          <w:p>
            <w:r>
              <w:rPr>
                <w:rFonts w:ascii="Calibri" w:hAnsi="Calibri"/>
                <w:sz w:val="22"/>
              </w:rPr>
              <w:t>FICO</w:t>
            </w:r>
          </w:p>
        </w:tc>
        <w:tc>
          <w:tcPr>
            <w:tcW w:type="dxa" w:w="1728"/>
          </w:tcPr>
          <w:p>
            <w:r>
              <w:rPr>
                <w:rFonts w:ascii="Calibri" w:hAnsi="Calibri"/>
                <w:sz w:val="22"/>
              </w:rPr>
              <w:t>Q2 FY2026 Earnings (Apr 28)</w:t>
            </w:r>
          </w:p>
        </w:tc>
        <w:tc>
          <w:tcPr>
            <w:tcW w:type="dxa" w:w="1728"/>
          </w:tcPr>
          <w:p>
            <w:r>
              <w:rPr>
                <w:rFonts w:ascii="Calibri" w:hAnsi="Calibri"/>
                <w:sz w:val="22"/>
              </w:rPr>
              <w:t>Mortgage origination revenues +127% YoY; volumes "better than expected"; rate dip drove uptick; FY guidance raised</w:t>
            </w:r>
          </w:p>
        </w:tc>
        <w:tc>
          <w:tcPr>
            <w:tcW w:type="dxa" w:w="1728"/>
          </w:tcPr>
          <w:p>
            <w:r>
              <w:rPr>
                <w:rFonts w:ascii="Calibri" w:hAnsi="Calibri"/>
                <w:b/>
                <w:color w:val="30A46C"/>
                <w:sz w:val="22"/>
              </w:rPr>
              <w:t>↑ Positive</w:t>
            </w:r>
          </w:p>
        </w:tc>
        <w:tc>
          <w:tcPr>
            <w:tcW w:type="dxa" w:w="1728"/>
          </w:tcPr>
          <w:p>
            <w:r>
              <w:rPr>
                <w:rFonts w:ascii="Calibri" w:hAnsi="Calibri"/>
                <w:sz w:val="22"/>
              </w:rPr>
              <w:t>Very High</w:t>
            </w:r>
          </w:p>
        </w:tc>
      </w:tr>
      <w:tr>
        <w:tc>
          <w:tcPr>
            <w:tcW w:type="dxa" w:w="1728"/>
          </w:tcPr>
          <w:p>
            <w:r>
              <w:rPr>
                <w:rFonts w:ascii="Calibri" w:hAnsi="Calibri"/>
                <w:sz w:val="22"/>
              </w:rPr>
              <w:t>FICO</w:t>
            </w:r>
          </w:p>
        </w:tc>
        <w:tc>
          <w:tcPr>
            <w:tcW w:type="dxa" w:w="1728"/>
          </w:tcPr>
          <w:p>
            <w:r>
              <w:rPr>
                <w:rFonts w:ascii="Calibri" w:hAnsi="Calibri"/>
                <w:sz w:val="22"/>
              </w:rPr>
              <w:t>Q2 FY2026 Earnings (Apr 28)</w:t>
            </w:r>
          </w:p>
        </w:tc>
        <w:tc>
          <w:tcPr>
            <w:tcW w:type="dxa" w:w="1728"/>
          </w:tcPr>
          <w:p>
            <w:r>
              <w:rPr>
                <w:rFonts w:ascii="Calibri" w:hAnsi="Calibri"/>
                <w:sz w:val="22"/>
              </w:rPr>
              <w:t>FICO 10T pricing restructured to $0.99 + $65 funding fee; 3 of top 5 resellers signed; 55 early adopter lenders</w:t>
            </w:r>
          </w:p>
        </w:tc>
        <w:tc>
          <w:tcPr>
            <w:tcW w:type="dxa" w:w="1728"/>
          </w:tcPr>
          <w:p>
            <w:r>
              <w:rPr>
                <w:rFonts w:ascii="Calibri" w:hAnsi="Calibri"/>
                <w:sz w:val="22"/>
              </w:rPr>
              <w:t>→ Mixed</w:t>
            </w:r>
          </w:p>
        </w:tc>
        <w:tc>
          <w:tcPr>
            <w:tcW w:type="dxa" w:w="1728"/>
          </w:tcPr>
          <w:p>
            <w:r>
              <w:rPr>
                <w:rFonts w:ascii="Calibri" w:hAnsi="Calibri"/>
                <w:sz w:val="22"/>
              </w:rPr>
              <w:t>High (VantageScore dynamics)</w:t>
            </w:r>
          </w:p>
        </w:tc>
      </w:tr>
      <w:tr>
        <w:tc>
          <w:tcPr>
            <w:tcW w:type="dxa" w:w="1728"/>
          </w:tcPr>
          <w:p>
            <w:r>
              <w:rPr>
                <w:rFonts w:ascii="Calibri" w:hAnsi="Calibri"/>
                <w:sz w:val="22"/>
              </w:rPr>
              <w:t>TransUnion (TRU)</w:t>
            </w:r>
          </w:p>
        </w:tc>
        <w:tc>
          <w:tcPr>
            <w:tcW w:type="dxa" w:w="1728"/>
          </w:tcPr>
          <w:p>
            <w:r>
              <w:rPr>
                <w:rFonts w:ascii="Calibri" w:hAnsi="Calibri"/>
                <w:sz w:val="22"/>
              </w:rPr>
              <w:t>Q1 2026 Earnings (Apr 28)</w:t>
            </w:r>
          </w:p>
        </w:tc>
        <w:tc>
          <w:tcPr>
            <w:tcW w:type="dxa" w:w="1728"/>
          </w:tcPr>
          <w:p>
            <w:r>
              <w:rPr>
                <w:rFonts w:ascii="Calibri" w:hAnsi="Calibri"/>
                <w:sz w:val="22"/>
              </w:rPr>
              <w:t>U.S. Financial Services beat; mortgage/auto/personal loan inquiry volumes constructive in Q1 2026</w:t>
            </w:r>
          </w:p>
        </w:tc>
        <w:tc>
          <w:tcPr>
            <w:tcW w:type="dxa" w:w="1728"/>
          </w:tcPr>
          <w:p>
            <w:r>
              <w:rPr>
                <w:rFonts w:ascii="Calibri" w:hAnsi="Calibri"/>
                <w:b/>
                <w:color w:val="30A46C"/>
                <w:sz w:val="22"/>
              </w:rPr>
              <w:t>↑ Positive</w:t>
            </w:r>
          </w:p>
        </w:tc>
        <w:tc>
          <w:tcPr>
            <w:tcW w:type="dxa" w:w="1728"/>
          </w:tcPr>
          <w:p>
            <w:r>
              <w:rPr>
                <w:rFonts w:ascii="Calibri" w:hAnsi="Calibri"/>
                <w:sz w:val="22"/>
              </w:rPr>
              <w:t>High</w:t>
            </w:r>
          </w:p>
        </w:tc>
      </w:tr>
      <w:tr>
        <w:tc>
          <w:tcPr>
            <w:tcW w:type="dxa" w:w="1728"/>
          </w:tcPr>
          <w:p>
            <w:r>
              <w:rPr>
                <w:rFonts w:ascii="Calibri" w:hAnsi="Calibri"/>
                <w:sz w:val="22"/>
              </w:rPr>
              <w:t>Moody’s (MCO)</w:t>
            </w:r>
          </w:p>
        </w:tc>
        <w:tc>
          <w:tcPr>
            <w:tcW w:type="dxa" w:w="1728"/>
          </w:tcPr>
          <w:p>
            <w:r>
              <w:rPr>
                <w:rFonts w:ascii="Calibri" w:hAnsi="Calibri"/>
                <w:sz w:val="22"/>
              </w:rPr>
              <w:t>Q1 2026 Earnings (Apr 22)</w:t>
            </w:r>
          </w:p>
        </w:tc>
        <w:tc>
          <w:tcPr>
            <w:tcW w:type="dxa" w:w="1728"/>
          </w:tcPr>
          <w:p>
            <w:r>
              <w:rPr>
                <w:rFonts w:ascii="Calibri" w:hAnsi="Calibri"/>
                <w:sz w:val="22"/>
              </w:rPr>
              <w:t>Financial market activity constructive; AI monetization narrative supportive of data/analytics sector re-rating</w:t>
            </w:r>
          </w:p>
        </w:tc>
        <w:tc>
          <w:tcPr>
            <w:tcW w:type="dxa" w:w="1728"/>
          </w:tcPr>
          <w:p>
            <w:r>
              <w:rPr>
                <w:rFonts w:ascii="Calibri" w:hAnsi="Calibri"/>
                <w:b/>
                <w:color w:val="30A46C"/>
                <w:sz w:val="22"/>
              </w:rPr>
              <w:t>↑ Positive</w:t>
            </w:r>
          </w:p>
        </w:tc>
        <w:tc>
          <w:tcPr>
            <w:tcW w:type="dxa" w:w="1728"/>
          </w:tcPr>
          <w:p>
            <w:r>
              <w:rPr>
                <w:rFonts w:ascii="Calibri" w:hAnsi="Calibri"/>
                <w:sz w:val="22"/>
              </w:rPr>
              <w:t>Medium</w:t>
            </w:r>
          </w:p>
        </w:tc>
      </w:tr>
      <w:tr>
        <w:tc>
          <w:tcPr>
            <w:tcW w:type="dxa" w:w="1728"/>
          </w:tcPr>
          <w:p>
            <w:r>
              <w:rPr>
                <w:rFonts w:ascii="Calibri" w:hAnsi="Calibri"/>
                <w:sz w:val="22"/>
              </w:rPr>
              <w:t>Moody’s (MCO)</w:t>
            </w:r>
          </w:p>
        </w:tc>
        <w:tc>
          <w:tcPr>
            <w:tcW w:type="dxa" w:w="1728"/>
          </w:tcPr>
          <w:p>
            <w:r>
              <w:rPr>
                <w:rFonts w:ascii="Calibri" w:hAnsi="Calibri"/>
                <w:sz w:val="22"/>
              </w:rPr>
              <w:t>GenAI Strategy Call (Jun 8)</w:t>
            </w:r>
          </w:p>
        </w:tc>
        <w:tc>
          <w:tcPr>
            <w:tcW w:type="dxa" w:w="1728"/>
          </w:tcPr>
          <w:p>
            <w:r>
              <w:rPr>
                <w:rFonts w:ascii="Calibri" w:hAnsi="Calibri"/>
                <w:sz w:val="22"/>
              </w:rPr>
              <w:t>AI product development and monetization benchmarks; competitive positioning in data analytics</w:t>
            </w:r>
          </w:p>
        </w:tc>
        <w:tc>
          <w:tcPr>
            <w:tcW w:type="dxa" w:w="1728"/>
          </w:tcPr>
          <w:p>
            <w:r>
              <w:rPr>
                <w:rFonts w:ascii="Calibri" w:hAnsi="Calibri"/>
                <w:sz w:val="22"/>
              </w:rPr>
              <w:t>→ Neutral / Informational</w:t>
            </w:r>
          </w:p>
        </w:tc>
        <w:tc>
          <w:tcPr>
            <w:tcW w:type="dxa" w:w="1728"/>
          </w:tcPr>
          <w:p>
            <w:r>
              <w:rPr>
                <w:rFonts w:ascii="Calibri" w:hAnsi="Calibri"/>
                <w:sz w:val="22"/>
              </w:rPr>
              <w:t>Medium</w:t>
            </w:r>
          </w:p>
        </w:tc>
      </w:tr>
    </w:tbl>
    <w:p>
      <w:r>
        <w:rPr>
          <w:rFonts w:ascii="Calibri" w:hAnsi="Calibri"/>
          <w:i/>
          <w:color w:val="525866"/>
          <w:sz w:val="22"/>
        </w:rPr>
        <w:t>Sources: FICO Q2 FY2026 Earnings Call Transcript (April 28, 2026); TransUnion Q1 2026 Earnings Call Transcript (April 28, 2026); Moody’s Q1 2026 Earnings Call Transcript (April 22, 2026); Moody’s Generative AI Strategy Call Transcript (June 8, 2026).</w:t>
      </w:r>
    </w:p>
    <w:p>
      <w:r>
        <w:rPr>
          <w:rFonts w:ascii="Calibri" w:hAnsi="Calibri"/>
          <w:b/>
          <w:color w:val="525866"/>
          <w:sz w:val="22"/>
        </w:rPr>
        <w:t xml:space="preserve">Bottom Line on Peer Read-Throughs: </w:t>
      </w:r>
      <w:r>
        <w:rPr>
          <w:rFonts w:ascii="Calibri" w:hAnsi="Calibri"/>
          <w:color w:val="525866"/>
          <w:sz w:val="22"/>
        </w:rPr>
        <w:t>The peer data is unambiguously constructive for EFX’s Q2 2026 setup. FICO’s 127% mortgage origination revenue surge and "better than expected" volume commentary is the single most important data point — it confirms that the mortgage market activity that drove EFX’s Q1 2026 beat did not evaporate in Q2. TransUnion’s U.S. Financial Services beat corroborates the demand environment. The key remaining uncertainty is whether EFX’s TWN Indicator share gains allowed it to outperform the market (as it did in Q1) or whether the rate spike in March/April created a more pronounced sequential headwind than peers experienced.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of concern — the only disposals are 10b5-1 plan-driven (pre-scheduled) and routine tax withholding transactions. Director equity grants at the May 7 annual meeting are standard compensation. The absence of discretionary insider selling at current depressed price levels is a mild positive signal.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Insider</w:t>
            </w:r>
          </w:p>
        </w:tc>
        <w:tc>
          <w:tcPr>
            <w:tcW w:type="dxa" w:w="1234"/>
            <w:shd w:val="clear" w:color="auto" w:fill="3B4259"/>
          </w:tcPr>
          <w:p>
            <w:r>
              <w:rPr>
                <w:rFonts w:ascii="Calibri" w:hAnsi="Calibri"/>
                <w:b/>
                <w:color w:val="FFFFFF"/>
                <w:sz w:val="22"/>
              </w:rPr>
              <w:t>Role</w:t>
            </w:r>
          </w:p>
        </w:tc>
        <w:tc>
          <w:tcPr>
            <w:tcW w:type="dxa" w:w="1234"/>
            <w:shd w:val="clear" w:color="auto" w:fill="3B4259"/>
          </w:tcPr>
          <w:p>
            <w:r>
              <w:rPr>
                <w:rFonts w:ascii="Calibri" w:hAnsi="Calibri"/>
                <w:b/>
                <w:color w:val="FFFFFF"/>
                <w:sz w:val="22"/>
              </w:rPr>
              <w:t>Transaction</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Type</w:t>
            </w:r>
          </w:p>
        </w:tc>
        <w:tc>
          <w:tcPr>
            <w:tcW w:type="dxa" w:w="1234"/>
            <w:shd w:val="clear" w:color="auto" w:fill="3B4259"/>
          </w:tcPr>
          <w:p>
            <w:r>
              <w:rPr>
                <w:rFonts w:ascii="Calibri" w:hAnsi="Calibri"/>
                <w:b/>
                <w:color w:val="FFFFFF"/>
                <w:sz w:val="22"/>
              </w:rPr>
              <w:t>10b5-1?</w:t>
            </w:r>
          </w:p>
        </w:tc>
      </w:tr>
      <w:tr>
        <w:tc>
          <w:tcPr>
            <w:tcW w:type="dxa" w:w="1234"/>
          </w:tcPr>
          <w:p>
            <w:r>
              <w:rPr>
                <w:rFonts w:ascii="Calibri" w:hAnsi="Calibri"/>
                <w:sz w:val="22"/>
              </w:rPr>
              <w:t>Jun 30, 2026</w:t>
            </w:r>
          </w:p>
        </w:tc>
        <w:tc>
          <w:tcPr>
            <w:tcW w:type="dxa" w:w="1234"/>
          </w:tcPr>
          <w:p>
            <w:r>
              <w:rPr>
                <w:rFonts w:ascii="Calibri" w:hAnsi="Calibri"/>
                <w:sz w:val="22"/>
              </w:rPr>
              <w:t>Robert D. Marcus</w:t>
            </w:r>
          </w:p>
        </w:tc>
        <w:tc>
          <w:tcPr>
            <w:tcW w:type="dxa" w:w="1234"/>
          </w:tcPr>
          <w:p>
            <w:r>
              <w:rPr>
                <w:rFonts w:ascii="Calibri" w:hAnsi="Calibri"/>
                <w:sz w:val="22"/>
              </w:rPr>
              <w:t>Director</w:t>
            </w:r>
          </w:p>
        </w:tc>
        <w:tc>
          <w:tcPr>
            <w:tcW w:type="dxa" w:w="1234"/>
          </w:tcPr>
          <w:p>
            <w:r>
              <w:rPr>
                <w:rFonts w:ascii="Calibri" w:hAnsi="Calibri"/>
                <w:sz w:val="22"/>
              </w:rPr>
              <w:t>Award (Phantom Stock Units)</w:t>
            </w:r>
          </w:p>
        </w:tc>
        <w:tc>
          <w:tcPr>
            <w:tcW w:type="dxa" w:w="1234"/>
          </w:tcPr>
          <w:p>
            <w:r>
              <w:rPr>
                <w:rFonts w:ascii="Calibri" w:hAnsi="Calibri"/>
                <w:sz w:val="22"/>
              </w:rPr>
              <w:t>221</w:t>
            </w:r>
          </w:p>
        </w:tc>
        <w:tc>
          <w:tcPr>
            <w:tcW w:type="dxa" w:w="1234"/>
          </w:tcPr>
          <w:p>
            <w:r>
              <w:rPr>
                <w:rFonts w:ascii="Calibri" w:hAnsi="Calibri"/>
                <w:sz w:val="22"/>
              </w:rPr>
              <w:t>Acquisition (A)</w:t>
            </w:r>
          </w:p>
        </w:tc>
        <w:tc>
          <w:tcPr>
            <w:tcW w:type="dxa" w:w="1234"/>
          </w:tcPr>
          <w:p>
            <w:r>
              <w:rPr>
                <w:rFonts w:ascii="Calibri" w:hAnsi="Calibri"/>
                <w:sz w:val="22"/>
              </w:rPr>
              <w:t>No</w:t>
            </w:r>
          </w:p>
        </w:tc>
      </w:tr>
      <w:tr>
        <w:tc>
          <w:tcPr>
            <w:tcW w:type="dxa" w:w="1234"/>
          </w:tcPr>
          <w:p>
            <w:r>
              <w:rPr>
                <w:rFonts w:ascii="Calibri" w:hAnsi="Calibri"/>
                <w:sz w:val="22"/>
              </w:rPr>
              <w:t>May 7, 2026</w:t>
            </w:r>
          </w:p>
        </w:tc>
        <w:tc>
          <w:tcPr>
            <w:tcW w:type="dxa" w:w="1234"/>
          </w:tcPr>
          <w:p>
            <w:r>
              <w:rPr>
                <w:rFonts w:ascii="Calibri" w:hAnsi="Calibri"/>
                <w:sz w:val="22"/>
              </w:rPr>
              <w:t>Multiple Directors (8)</w:t>
            </w:r>
          </w:p>
        </w:tc>
        <w:tc>
          <w:tcPr>
            <w:tcW w:type="dxa" w:w="1234"/>
          </w:tcPr>
          <w:p>
            <w:r>
              <w:rPr>
                <w:rFonts w:ascii="Calibri" w:hAnsi="Calibri"/>
                <w:sz w:val="22"/>
              </w:rPr>
              <w:t>Board of Directors</w:t>
            </w:r>
          </w:p>
        </w:tc>
        <w:tc>
          <w:tcPr>
            <w:tcW w:type="dxa" w:w="1234"/>
          </w:tcPr>
          <w:p>
            <w:r>
              <w:rPr>
                <w:rFonts w:ascii="Calibri" w:hAnsi="Calibri"/>
                <w:sz w:val="22"/>
              </w:rPr>
              <w:t>Annual equity grant (Common Stock)</w:t>
            </w:r>
          </w:p>
        </w:tc>
        <w:tc>
          <w:tcPr>
            <w:tcW w:type="dxa" w:w="1234"/>
          </w:tcPr>
          <w:p>
            <w:r>
              <w:rPr>
                <w:rFonts w:ascii="Calibri" w:hAnsi="Calibri"/>
                <w:sz w:val="22"/>
              </w:rPr>
              <w:t>1,253 each</w:t>
            </w:r>
          </w:p>
        </w:tc>
        <w:tc>
          <w:tcPr>
            <w:tcW w:type="dxa" w:w="1234"/>
          </w:tcPr>
          <w:p>
            <w:r>
              <w:rPr>
                <w:rFonts w:ascii="Calibri" w:hAnsi="Calibri"/>
                <w:sz w:val="22"/>
              </w:rPr>
              <w:t>Acquisition (A)</w:t>
            </w:r>
          </w:p>
        </w:tc>
        <w:tc>
          <w:tcPr>
            <w:tcW w:type="dxa" w:w="1234"/>
          </w:tcPr>
          <w:p>
            <w:r>
              <w:rPr>
                <w:rFonts w:ascii="Calibri" w:hAnsi="Calibri"/>
                <w:sz w:val="22"/>
              </w:rPr>
              <w:t>No</w:t>
            </w:r>
          </w:p>
        </w:tc>
      </w:tr>
      <w:tr>
        <w:tc>
          <w:tcPr>
            <w:tcW w:type="dxa" w:w="1234"/>
          </w:tcPr>
          <w:p>
            <w:r>
              <w:rPr>
                <w:rFonts w:ascii="Calibri" w:hAnsi="Calibri"/>
                <w:sz w:val="22"/>
              </w:rPr>
              <w:t>May 6–7, 2026</w:t>
            </w:r>
          </w:p>
        </w:tc>
        <w:tc>
          <w:tcPr>
            <w:tcW w:type="dxa" w:w="1234"/>
          </w:tcPr>
          <w:p>
            <w:r>
              <w:rPr>
                <w:rFonts w:ascii="Calibri" w:hAnsi="Calibri"/>
                <w:sz w:val="22"/>
              </w:rPr>
              <w:t>Chad M. Borton</w:t>
            </w:r>
          </w:p>
        </w:tc>
        <w:tc>
          <w:tcPr>
            <w:tcW w:type="dxa" w:w="1234"/>
          </w:tcPr>
          <w:p>
            <w:r>
              <w:rPr>
                <w:rFonts w:ascii="Calibri" w:hAnsi="Calibri"/>
                <w:sz w:val="22"/>
              </w:rPr>
              <w:t>EVP, Pres. Workforce Solutions</w:t>
            </w:r>
          </w:p>
        </w:tc>
        <w:tc>
          <w:tcPr>
            <w:tcW w:type="dxa" w:w="1234"/>
          </w:tcPr>
          <w:p>
            <w:r>
              <w:rPr>
                <w:rFonts w:ascii="Calibri" w:hAnsi="Calibri"/>
                <w:sz w:val="22"/>
              </w:rPr>
              <w:t>Tax withholding (F) + 10b5-1 sale (S)</w:t>
            </w:r>
          </w:p>
        </w:tc>
        <w:tc>
          <w:tcPr>
            <w:tcW w:type="dxa" w:w="1234"/>
          </w:tcPr>
          <w:p>
            <w:r>
              <w:rPr>
                <w:rFonts w:ascii="Calibri" w:hAnsi="Calibri"/>
                <w:sz w:val="22"/>
              </w:rPr>
              <w:t>1,934 (F) + 2,455 (S)</w:t>
            </w:r>
          </w:p>
        </w:tc>
        <w:tc>
          <w:tcPr>
            <w:tcW w:type="dxa" w:w="1234"/>
          </w:tcPr>
          <w:p>
            <w:r>
              <w:rPr>
                <w:rFonts w:ascii="Calibri" w:hAnsi="Calibri"/>
                <w:sz w:val="22"/>
              </w:rPr>
              <w:t>Disposal (D)</w:t>
            </w:r>
          </w:p>
        </w:tc>
        <w:tc>
          <w:tcPr>
            <w:tcW w:type="dxa" w:w="1234"/>
          </w:tcPr>
          <w:p>
            <w:r>
              <w:rPr>
                <w:rFonts w:ascii="Calibri" w:hAnsi="Calibri"/>
                <w:sz w:val="22"/>
              </w:rPr>
              <w:t>Yes</w:t>
            </w:r>
          </w:p>
        </w:tc>
      </w:tr>
      <w:tr>
        <w:tc>
          <w:tcPr>
            <w:tcW w:type="dxa" w:w="1234"/>
          </w:tcPr>
          <w:p>
            <w:r>
              <w:rPr>
                <w:rFonts w:ascii="Calibri" w:hAnsi="Calibri"/>
                <w:sz w:val="22"/>
              </w:rPr>
              <w:t>May 1, 2026</w:t>
            </w:r>
          </w:p>
        </w:tc>
        <w:tc>
          <w:tcPr>
            <w:tcW w:type="dxa" w:w="1234"/>
          </w:tcPr>
          <w:p>
            <w:r>
              <w:rPr>
                <w:rFonts w:ascii="Calibri" w:hAnsi="Calibri"/>
                <w:sz w:val="22"/>
              </w:rPr>
              <w:t>John W. Gamble Jr.</w:t>
            </w:r>
          </w:p>
        </w:tc>
        <w:tc>
          <w:tcPr>
            <w:tcW w:type="dxa" w:w="1234"/>
          </w:tcPr>
          <w:p>
            <w:r>
              <w:rPr>
                <w:rFonts w:ascii="Calibri" w:hAnsi="Calibri"/>
                <w:sz w:val="22"/>
              </w:rPr>
              <w:t>EVP, CFO &amp; COO</w:t>
            </w:r>
          </w:p>
        </w:tc>
        <w:tc>
          <w:tcPr>
            <w:tcW w:type="dxa" w:w="1234"/>
          </w:tcPr>
          <w:p>
            <w:r>
              <w:rPr>
                <w:rFonts w:ascii="Calibri" w:hAnsi="Calibri"/>
                <w:sz w:val="22"/>
              </w:rPr>
              <w:t>10b5-1 sale</w:t>
            </w:r>
          </w:p>
        </w:tc>
        <w:tc>
          <w:tcPr>
            <w:tcW w:type="dxa" w:w="1234"/>
          </w:tcPr>
          <w:p>
            <w:r>
              <w:rPr>
                <w:rFonts w:ascii="Calibri" w:hAnsi="Calibri"/>
                <w:sz w:val="22"/>
              </w:rPr>
              <w:t>3,500</w:t>
            </w:r>
          </w:p>
        </w:tc>
        <w:tc>
          <w:tcPr>
            <w:tcW w:type="dxa" w:w="1234"/>
          </w:tcPr>
          <w:p>
            <w:r>
              <w:rPr>
                <w:rFonts w:ascii="Calibri" w:hAnsi="Calibri"/>
                <w:sz w:val="22"/>
              </w:rPr>
              <w:t>Disposal (D)</w:t>
            </w:r>
          </w:p>
        </w:tc>
        <w:tc>
          <w:tcPr>
            <w:tcW w:type="dxa" w:w="1234"/>
          </w:tcPr>
          <w:p>
            <w:r>
              <w:rPr>
                <w:rFonts w:ascii="Calibri" w:hAnsi="Calibri"/>
                <w:sz w:val="22"/>
              </w:rPr>
              <w:t>Yes</w:t>
            </w:r>
          </w:p>
        </w:tc>
      </w:tr>
      <w:tr>
        <w:tc>
          <w:tcPr>
            <w:tcW w:type="dxa" w:w="1234"/>
          </w:tcPr>
          <w:p>
            <w:r>
              <w:rPr>
                <w:rFonts w:ascii="Calibri" w:hAnsi="Calibri"/>
                <w:sz w:val="22"/>
              </w:rPr>
              <w:t>Apr 24, 2026</w:t>
            </w:r>
          </w:p>
        </w:tc>
        <w:tc>
          <w:tcPr>
            <w:tcW w:type="dxa" w:w="1234"/>
          </w:tcPr>
          <w:p>
            <w:r>
              <w:rPr>
                <w:rFonts w:ascii="Calibri" w:hAnsi="Calibri"/>
                <w:sz w:val="22"/>
              </w:rPr>
              <w:t>Mark W. Begor</w:t>
            </w:r>
          </w:p>
        </w:tc>
        <w:tc>
          <w:tcPr>
            <w:tcW w:type="dxa" w:w="1234"/>
          </w:tcPr>
          <w:p>
            <w:r>
              <w:rPr>
                <w:rFonts w:ascii="Calibri" w:hAnsi="Calibri"/>
                <w:sz w:val="22"/>
              </w:rPr>
              <w:t>CEO, Director</w:t>
            </w:r>
          </w:p>
        </w:tc>
        <w:tc>
          <w:tcPr>
            <w:tcW w:type="dxa" w:w="1234"/>
          </w:tcPr>
          <w:p>
            <w:r>
              <w:rPr>
                <w:rFonts w:ascii="Calibri" w:hAnsi="Calibri"/>
                <w:sz w:val="22"/>
              </w:rPr>
              <w:t>Option exercise (M) + same-day sale (S) — cashless exercise</w:t>
            </w:r>
          </w:p>
        </w:tc>
        <w:tc>
          <w:tcPr>
            <w:tcW w:type="dxa" w:w="1234"/>
          </w:tcPr>
          <w:p>
            <w:r>
              <w:rPr>
                <w:rFonts w:ascii="Calibri" w:hAnsi="Calibri"/>
                <w:sz w:val="22"/>
              </w:rPr>
              <w:t>37,791 exercised / 37,791 sold</w:t>
            </w:r>
          </w:p>
        </w:tc>
        <w:tc>
          <w:tcPr>
            <w:tcW w:type="dxa" w:w="1234"/>
          </w:tcPr>
          <w:p>
            <w:r>
              <w:rPr>
                <w:rFonts w:ascii="Calibri" w:hAnsi="Calibri"/>
                <w:sz w:val="22"/>
              </w:rPr>
              <w:t>Acquisition + Disposal</w:t>
            </w:r>
          </w:p>
        </w:tc>
        <w:tc>
          <w:tcPr>
            <w:tcW w:type="dxa" w:w="1234"/>
          </w:tcPr>
          <w:p>
            <w:r>
              <w:rPr>
                <w:rFonts w:ascii="Calibri" w:hAnsi="Calibri"/>
                <w:sz w:val="22"/>
              </w:rPr>
              <w:t>Yes</w:t>
            </w:r>
          </w:p>
        </w:tc>
      </w:tr>
    </w:tbl>
    <w:p>
      <w:r>
        <w:rPr>
          <w:rFonts w:ascii="Calibri" w:hAnsi="Calibri"/>
          <w:i/>
          <w:color w:val="525866"/>
          <w:sz w:val="22"/>
        </w:rPr>
        <w:t>Source: Insider Transaction Data (SEC Form 4 filings).</w:t>
      </w:r>
    </w:p>
    <w:p>
      <w:r>
        <w:rPr>
          <w:rFonts w:ascii="Calibri" w:hAnsi="Calibri"/>
          <w:b/>
          <w:color w:val="525866"/>
          <w:sz w:val="22"/>
        </w:rPr>
        <w:t xml:space="preserve">Interpretation: </w:t>
      </w:r>
      <w:r>
        <w:rPr>
          <w:rFonts w:ascii="Calibri" w:hAnsi="Calibri"/>
          <w:color w:val="525866"/>
          <w:sz w:val="22"/>
        </w:rPr>
        <w:t xml:space="preserve">All disposals in the period are either (1) pre-scheduled 10b5-1 plan sales (CFO Gamble, EWS President Borton, CEO Begor’s cashless option exercise) or (2) routine tax withholding transactions — none represent discretionary open-market selling. The CEO’s April 24 transaction was a cashless option exercise (simultaneous M + S codes), not a discretionary sale. The eight director equity grants on May 7 are standard annual compensation awards. Critically, </w:t>
      </w:r>
      <w:r>
        <w:rPr>
          <w:rFonts w:ascii="Calibri" w:hAnsi="Calibri"/>
          <w:b/>
          <w:color w:val="525866"/>
          <w:sz w:val="22"/>
        </w:rPr>
        <w:t>no insider has made a discretionary open-market purchase or sale at current price levels (~$150–$180 range)</w:t>
      </w:r>
      <w:r>
        <w:rPr>
          <w:rFonts w:ascii="Calibri" w:hAnsi="Calibri"/>
          <w:color w:val="525866"/>
          <w:sz w:val="22"/>
        </w:rPr>
        <w:t>, which is a neutral-to-mildly-positive signal — insiders are not selling into the weakness, but they are also not buying the dip.</w:t>
      </w:r>
    </w:p>
    <w:p>
      <w:r>
        <w:rPr>
          <w:rFonts w:ascii="Calibri" w:hAnsi="Calibri"/>
          <w:b/>
          <w:color w:val="525866"/>
          <w:sz w:val="22"/>
        </w:rPr>
        <w:t xml:space="preserve">Note: </w:t>
      </w:r>
      <w:r>
        <w:rPr>
          <w:rFonts w:ascii="Calibri" w:hAnsi="Calibri"/>
          <w:i/>
          <w:color w:val="525866"/>
          <w:sz w:val="22"/>
        </w:rPr>
        <w:t>The 8 directors who received equity grants on May 7, 2026 include: Mark L. Feidler, Karen L. Fichuk, G. Thomas Hough, Barbara A. Larson, Robert D. Marcus, Scott A. McGregor, John A. McKinley, Melissa D. Smith, and Audrey B. Tillman.</w:t>
      </w:r>
    </w:p>
    <w:p>
      <w:r>
        <w:br w:type="page"/>
      </w:r>
    </w:p>
    <w:p>
      <w:pPr>
        <w:pStyle w:val="Heading2"/>
      </w:pPr>
      <w:r>
        <w:rPr>
          <w:rFonts w:ascii="Calibri" w:hAnsi="Calibri"/>
          <w:b/>
          <w:color w:val="3B4259"/>
          <w:sz w:val="28"/>
        </w:rPr>
        <w:t>Key Risks &amp; Considerations</w:t>
      </w:r>
    </w:p>
    <w:p>
      <w:pPr>
        <w:pStyle w:val="ListBullet"/>
        <w:ind w:left="360" w:hanging="360"/>
      </w:pPr>
      <w:r>
        <w:rPr>
          <w:rFonts w:ascii="Calibri" w:hAnsi="Calibri"/>
          <w:b/>
          <w:color w:val="525866"/>
          <w:sz w:val="22"/>
        </w:rPr>
        <w:t xml:space="preserve">Mortgage rate volatility: </w:t>
      </w:r>
      <w:r>
        <w:rPr>
          <w:rFonts w:ascii="Calibri" w:hAnsi="Calibri"/>
          <w:color w:val="525866"/>
          <w:sz w:val="22"/>
        </w:rPr>
        <w:t>The Iran-conflict-driven rate spike that dampened March/April volumes is the primary downside risk. If rates remained elevated through June, EFX’s Q2 mortgage revenue could come in below the &gt;+20% YoY guidance. FICO’s "better than expected" volume commentary is reassuring but not definitive for EFX’s specific mix.</w:t>
      </w:r>
    </w:p>
    <w:p>
      <w:pPr>
        <w:pStyle w:val="ListBullet"/>
        <w:ind w:left="360" w:hanging="360"/>
      </w:pPr>
      <w:r>
        <w:rPr>
          <w:rFonts w:ascii="Calibri" w:hAnsi="Calibri"/>
          <w:b/>
          <w:color w:val="525866"/>
          <w:sz w:val="22"/>
        </w:rPr>
        <w:t xml:space="preserve">EWS Government tough comp: </w:t>
      </w:r>
      <w:r>
        <w:rPr>
          <w:rFonts w:ascii="Calibri" w:hAnsi="Calibri"/>
          <w:color w:val="525866"/>
          <w:sz w:val="22"/>
        </w:rPr>
        <w:t>Management explicitly flagged a more difficult Q2 comparison in EWS Government due to the prior-year SSA contract win. Government revenue grew mid-double digits in Q1 2026 but faces a sequential step-down in Q2. This is a known headwind already embedded in guidance.</w:t>
      </w:r>
    </w:p>
    <w:p>
      <w:pPr>
        <w:pStyle w:val="ListBullet"/>
        <w:ind w:left="360" w:hanging="360"/>
      </w:pPr>
      <w:r>
        <w:rPr>
          <w:rFonts w:ascii="Calibri" w:hAnsi="Calibri"/>
          <w:b/>
          <w:color w:val="525866"/>
          <w:sz w:val="22"/>
        </w:rPr>
        <w:t xml:space="preserve">WOTC headwind: </w:t>
      </w:r>
      <w:r>
        <w:rPr>
          <w:rFonts w:ascii="Calibri" w:hAnsi="Calibri"/>
          <w:color w:val="525866"/>
          <w:sz w:val="22"/>
        </w:rPr>
        <w:t>Work Opportunity Tax Credit legislation was not extended, causing Employer Services to shift from flat/slight growth to a slight decline in FY2026. This is a new headwind not previously flagged and could weigh on EWS margins.</w:t>
      </w:r>
    </w:p>
    <w:p>
      <w:pPr>
        <w:pStyle w:val="ListBullet"/>
        <w:ind w:left="360" w:hanging="360"/>
      </w:pPr>
      <w:r>
        <w:rPr>
          <w:rFonts w:ascii="Calibri" w:hAnsi="Calibri"/>
          <w:b/>
          <w:color w:val="525866"/>
          <w:sz w:val="22"/>
        </w:rPr>
        <w:t xml:space="preserve">Círculo de Crédito integration risk: </w:t>
      </w:r>
      <w:r>
        <w:rPr>
          <w:rFonts w:ascii="Calibri" w:hAnsi="Calibri"/>
          <w:color w:val="525866"/>
          <w:sz w:val="22"/>
        </w:rPr>
        <w:t>The $825M acquisition (closing Q4 2026) will consume significant capital and management bandwidth. While EPS-accretive in year one, integration of a Mexican credit bureau adds FX, regulatory, and execution risk. The market may question whether this is the best use of capital vs. buybacks at current depressed price levels.</w:t>
      </w:r>
    </w:p>
    <w:p>
      <w:pPr>
        <w:pStyle w:val="ListBullet"/>
        <w:ind w:left="360" w:hanging="360"/>
      </w:pPr>
      <w:r>
        <w:rPr>
          <w:rFonts w:ascii="Calibri" w:hAnsi="Calibri"/>
          <w:b/>
          <w:color w:val="525866"/>
          <w:sz w:val="22"/>
        </w:rPr>
        <w:t xml:space="preserve">VantageScore conversion pace: </w:t>
      </w:r>
      <w:r>
        <w:rPr>
          <w:rFonts w:ascii="Calibri" w:hAnsi="Calibri"/>
          <w:color w:val="525866"/>
          <w:sz w:val="22"/>
        </w:rPr>
        <w:t>2026 guidance assumes zero VantageScore conversion. While this makes any adoption pure upside, the pace of lender conversion remains uncertain. If conversion is slower than the market expects, the stock could remain range-bound despite strong underlying fundamentals.</w:t>
      </w:r>
    </w:p>
    <w:p>
      <w:pPr>
        <w:pStyle w:val="ListBullet"/>
        <w:ind w:left="360" w:hanging="360"/>
      </w:pPr>
      <w:r>
        <w:rPr>
          <w:rFonts w:ascii="Calibri" w:hAnsi="Calibri"/>
          <w:b/>
          <w:color w:val="525866"/>
          <w:sz w:val="22"/>
        </w:rPr>
        <w:t xml:space="preserve">FICO royalty pass-through distortion: </w:t>
      </w:r>
      <w:r>
        <w:rPr>
          <w:rFonts w:ascii="Calibri" w:hAnsi="Calibri"/>
          <w:color w:val="525866"/>
          <w:sz w:val="22"/>
        </w:rPr>
        <w:t>The FICO mortgage royalty pass-through (now ~6% of total revenue, up from ~3%) continues to distort reported revenue growth and EBITDA margins. Investors need to focus on ex-FICO metrics to assess true underlying performance, but this creates communication risk if the market anchors on reported numbers.</w:t>
      </w:r>
    </w:p>
    <w:p>
      <w:r>
        <w:rPr>
          <w:rFonts w:ascii="Calibri" w:hAnsi="Calibri"/>
          <w:b/>
          <w:i/>
          <w:color w:val="525866"/>
          <w:sz w:val="22"/>
        </w:rPr>
        <w:t xml:space="preserve">Disclaimer: </w:t>
      </w:r>
      <w:r>
        <w:rPr>
          <w:rFonts w:ascii="Calibri" w:hAnsi="Calibri"/>
          <w:i/>
          <w:color w:val="525866"/>
          <w:sz w:val="22"/>
        </w:rPr>
        <w:t>This earnings preview is prepared for informational purposes only and is based on publicly available information, consensus data from Visible Alpha, and company filings as of July 20, 2026. It does not constitute investment advice.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