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Equifax Inc. (EFX)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Equifax Inc.</w:t>
            </w:r>
          </w:p>
        </w:tc>
      </w:tr>
      <w:tr>
        <w:tc>
          <w:tcPr>
            <w:tcW w:type="dxa" w:w="4320"/>
          </w:tcPr>
          <w:p>
            <w:r>
              <w:rPr>
                <w:rFonts w:ascii="Calibri" w:hAnsi="Calibri"/>
                <w:b/>
                <w:sz w:val="22"/>
              </w:rPr>
              <w:t>Ticker</w:t>
            </w:r>
          </w:p>
        </w:tc>
        <w:tc>
          <w:tcPr>
            <w:tcW w:type="dxa" w:w="4320"/>
          </w:tcPr>
          <w:p>
            <w:r>
              <w:rPr>
                <w:rFonts w:ascii="Calibri" w:hAnsi="Calibri"/>
                <w:sz w:val="22"/>
              </w:rPr>
              <w:t>NYSE: EFX</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21, 2026 — pre-market (6:30 a.m. ET release; 8:30 a.m. ET call)</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r>
        <w:tc>
          <w:tcPr>
            <w:tcW w:type="dxa" w:w="4320"/>
          </w:tcPr>
          <w:p>
            <w:r>
              <w:rPr>
                <w:rFonts w:ascii="Calibri" w:hAnsi="Calibri"/>
                <w:b/>
                <w:sz w:val="22"/>
              </w:rPr>
              <w:t>Analyst Focus KPIs</w:t>
            </w:r>
          </w:p>
        </w:tc>
        <w:tc>
          <w:tcPr>
            <w:tcW w:type="dxa" w:w="4320"/>
          </w:tcPr>
          <w:p>
            <w:r>
              <w:rPr>
                <w:rFonts w:ascii="Calibri" w:hAnsi="Calibri"/>
                <w:sz w:val="22"/>
              </w:rPr>
              <w:t>Total Revenue (ex-FICO), Adjusted EPS (Diluted - Operating)</w:t>
            </w:r>
          </w:p>
        </w:tc>
      </w:tr>
      <w:tr>
        <w:tc>
          <w:tcPr>
            <w:tcW w:type="dxa" w:w="4320"/>
          </w:tcPr>
          <w:p>
            <w:r>
              <w:rPr>
                <w:rFonts w:ascii="Calibri" w:hAnsi="Calibri"/>
                <w:b/>
                <w:sz w:val="22"/>
              </w:rPr>
              <w:t>Primary Valuation Metric</w:t>
            </w:r>
          </w:p>
        </w:tc>
        <w:tc>
          <w:tcPr>
            <w:tcW w:type="dxa" w:w="4320"/>
          </w:tcPr>
          <w:p>
            <w:r>
              <w:rPr>
                <w:rFonts w:ascii="Calibri" w:hAnsi="Calibri"/>
                <w:sz w:val="22"/>
              </w:rPr>
              <w:t>EV/EBITDA (NTM); currently ~11.5x vs. ~17.5x one year ago</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is a manageable bar, the stock has already de-rated sharply, and the biggest swing factor is whether mortgage volumes held up better than the Iran-conflict-dampened trajectory management baked into Q2 guidance.</w:t>
      </w:r>
    </w:p>
    <w:p>
      <w:r>
        <w:rPr>
          <w:rFonts w:ascii="Calibri" w:hAnsi="Calibri"/>
          <w:color w:val="525866"/>
          <w:sz w:val="22"/>
        </w:rPr>
        <w:t xml:space="preserve">Heading into Q2 2026, the bar for EFX looks achievable: consensus sits at ~$1.699B in revenue and ~$2.21 in adjusted EPS, both near the midpoint of the guidance range management issued on April 21 ($1.680B–$1.710B revenue; $2.15–$2.25 EPS), leaving limited room for a large beat but also limited downside if volumes tracked guidance. </w:t>
      </w:r>
      <w:r>
        <w:rPr>
          <w:rFonts w:ascii="Calibri" w:hAnsi="Calibri"/>
          <w:b/>
          <w:color w:val="525866"/>
          <w:sz w:val="22"/>
        </w:rPr>
        <w:t>Management's posture was deliberately cautious at Q1 earnings</w:t>
      </w:r>
      <w:r>
        <w:rPr>
          <w:rFonts w:ascii="Calibri" w:hAnsi="Calibri"/>
          <w:color w:val="525866"/>
          <w:sz w:val="22"/>
        </w:rPr>
        <w:t xml:space="preserve"> — they held full-year guidance despite a $37M Q1 revenue beat, citing Iran-conflict-driven rate uncertainty, and explicitly said they would have raised guidance absent that uncertainty, signaling the Q2 midpoint is a conservative anchor rather than a stretch target. Estimate revisions have drifted modestly lower since the Q1 print (adjusted EPS consensus for Q2 moved from ~$2.21 to ~$2.21, essentially flat, while the stock fell ~8% from the April 21 close before recovering ~16% in the past month), suggesting the market has already priced in the macro headwind and the stock is no longer pricing in a beat. </w:t>
      </w:r>
      <w:r>
        <w:rPr>
          <w:rFonts w:ascii="Calibri" w:hAnsi="Calibri"/>
          <w:b/>
          <w:color w:val="525866"/>
          <w:sz w:val="22"/>
        </w:rPr>
        <w:t>The key wildcard is mortgage volume trajectory</w:t>
      </w:r>
      <w:r>
        <w:rPr>
          <w:rFonts w:ascii="Calibri" w:hAnsi="Calibri"/>
          <w:color w:val="525866"/>
          <w:sz w:val="22"/>
        </w:rPr>
        <w:t>: management guided for U.S. mortgage revenue up &gt;20% in Q2 (high single digits ex-FICO), but peer TransUnion confirmed through mid-May that volumes were tracking at the high end of its own guidance — if that held through June, EFX mortgage could surprise to the upside, particularly given TWN Indicator share gains in pre-approval products that are structurally additive to volume. The government vertical faces a tough sequential comp from the prior-year SSA contract win, and Employer Services will remain a modest drag from WOTC expiration, but neither is a new surprise. The $750M Círculo de Crédito acquisition announced July 7 adds a strategic narrative but closes in Q4 2026 and has no Q2 P&amp;L impact.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anchored near guidance midpoints; </w:t>
      </w:r>
      <w:r>
        <w:rPr>
          <w:rFonts w:ascii="Calibri" w:hAnsi="Calibri"/>
          <w:b/>
          <w:color w:val="525866"/>
          <w:sz w:val="22"/>
        </w:rPr>
        <w:t>total revenue ex-FICO and adjusted EPS are the two swing factors</w:t>
      </w:r>
      <w:r>
        <w:rPr>
          <w:rFonts w:ascii="Calibri" w:hAnsi="Calibri"/>
          <w:color w:val="525866"/>
          <w:sz w:val="22"/>
        </w:rPr>
        <w:t>, with mortgage volume trajectory the primary upside/downside lever within both.</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w:t>
            </w:r>
          </w:p>
        </w:tc>
        <w:tc>
          <w:tcPr>
            <w:tcW w:type="dxa" w:w="1234"/>
          </w:tcPr>
          <w:p>
            <w:r>
              <w:rPr>
                <w:rFonts w:ascii="Calibri" w:hAnsi="Calibri"/>
                <w:sz w:val="22"/>
              </w:rPr>
              <w:t>$1,648.9M</w:t>
            </w:r>
          </w:p>
        </w:tc>
        <w:tc>
          <w:tcPr>
            <w:tcW w:type="dxa" w:w="1234"/>
          </w:tcPr>
          <w:p>
            <w:r>
              <w:rPr>
                <w:rFonts w:ascii="Calibri" w:hAnsi="Calibri"/>
                <w:sz w:val="22"/>
              </w:rPr>
              <w:t>$1,537.0M</w:t>
            </w:r>
          </w:p>
        </w:tc>
        <w:tc>
          <w:tcPr>
            <w:tcW w:type="dxa" w:w="1234"/>
          </w:tcPr>
          <w:p>
            <w:r>
              <w:rPr>
                <w:rFonts w:ascii="Calibri" w:hAnsi="Calibri"/>
                <w:sz w:val="22"/>
              </w:rPr>
              <w:t>$1,698.7M ¹</w:t>
            </w:r>
          </w:p>
        </w:tc>
        <w:tc>
          <w:tcPr>
            <w:tcW w:type="dxa" w:w="1234"/>
          </w:tcPr>
          <w:p>
            <w:r>
              <w:rPr>
                <w:rFonts w:ascii="Calibri" w:hAnsi="Calibri"/>
                <w:sz w:val="22"/>
              </w:rPr>
              <w:t>+10.5% YoY</w:t>
            </w:r>
          </w:p>
        </w:tc>
        <w:tc>
          <w:tcPr>
            <w:tcW w:type="dxa" w:w="1234"/>
          </w:tcPr>
          <w:p>
            <w:r>
              <w:rPr>
                <w:rFonts w:ascii="Calibri" w:hAnsi="Calibri"/>
                <w:sz w:val="22"/>
              </w:rPr>
              <w:t>$1,680M–$1,710M</w:t>
            </w:r>
          </w:p>
        </w:tc>
        <w:tc>
          <w:tcPr>
            <w:tcW w:type="dxa" w:w="1234"/>
          </w:tcPr>
          <w:p>
            <w:r>
              <w:rPr>
                <w:rFonts w:ascii="Calibri" w:hAnsi="Calibri"/>
                <w:sz w:val="22"/>
              </w:rPr>
              <w:t>-0.1% vs. $1,695M mid</w:t>
            </w:r>
          </w:p>
        </w:tc>
      </w:tr>
      <w:tr>
        <w:tc>
          <w:tcPr>
            <w:tcW w:type="dxa" w:w="1234"/>
          </w:tcPr>
          <w:p>
            <w:r>
              <w:rPr>
                <w:rFonts w:ascii="Calibri" w:hAnsi="Calibri"/>
                <w:sz w:val="22"/>
              </w:rPr>
              <w:t>Adj. EPS (Diluted - Operating)</w:t>
            </w:r>
          </w:p>
        </w:tc>
        <w:tc>
          <w:tcPr>
            <w:tcW w:type="dxa" w:w="1234"/>
          </w:tcPr>
          <w:p>
            <w:r>
              <w:rPr>
                <w:rFonts w:ascii="Calibri" w:hAnsi="Calibri"/>
                <w:sz w:val="22"/>
              </w:rPr>
              <w:t>$1.86</w:t>
            </w:r>
          </w:p>
        </w:tc>
        <w:tc>
          <w:tcPr>
            <w:tcW w:type="dxa" w:w="1234"/>
          </w:tcPr>
          <w:p>
            <w:r>
              <w:rPr>
                <w:rFonts w:ascii="Calibri" w:hAnsi="Calibri"/>
                <w:sz w:val="22"/>
              </w:rPr>
              <w:t>$2.00</w:t>
            </w:r>
          </w:p>
        </w:tc>
        <w:tc>
          <w:tcPr>
            <w:tcW w:type="dxa" w:w="1234"/>
          </w:tcPr>
          <w:p>
            <w:r>
              <w:rPr>
                <w:rFonts w:ascii="Calibri" w:hAnsi="Calibri"/>
                <w:sz w:val="22"/>
              </w:rPr>
              <w:t>$2.21 ¹</w:t>
            </w:r>
          </w:p>
        </w:tc>
        <w:tc>
          <w:tcPr>
            <w:tcW w:type="dxa" w:w="1234"/>
          </w:tcPr>
          <w:p>
            <w:r>
              <w:rPr>
                <w:rFonts w:ascii="Calibri" w:hAnsi="Calibri"/>
                <w:sz w:val="22"/>
              </w:rPr>
              <w:t>+10.5% YoY</w:t>
            </w:r>
          </w:p>
        </w:tc>
        <w:tc>
          <w:tcPr>
            <w:tcW w:type="dxa" w:w="1234"/>
          </w:tcPr>
          <w:p>
            <w:r>
              <w:rPr>
                <w:rFonts w:ascii="Calibri" w:hAnsi="Calibri"/>
                <w:sz w:val="22"/>
              </w:rPr>
              <w:t>$2.15–$2.25</w:t>
            </w:r>
          </w:p>
        </w:tc>
        <w:tc>
          <w:tcPr>
            <w:tcW w:type="dxa" w:w="1234"/>
          </w:tcPr>
          <w:p>
            <w:r>
              <w:rPr>
                <w:rFonts w:ascii="Calibri" w:hAnsi="Calibri"/>
                <w:sz w:val="22"/>
              </w:rPr>
              <w:t>+0.3% vs. $2.20 mid</w:t>
            </w:r>
          </w:p>
        </w:tc>
      </w:tr>
      <w:tr>
        <w:tc>
          <w:tcPr>
            <w:tcW w:type="dxa" w:w="1234"/>
          </w:tcPr>
          <w:p>
            <w:r>
              <w:rPr>
                <w:rFonts w:ascii="Calibri" w:hAnsi="Calibri"/>
                <w:sz w:val="22"/>
              </w:rPr>
              <w:t>EBITDA Margin (%)</w:t>
            </w:r>
          </w:p>
        </w:tc>
        <w:tc>
          <w:tcPr>
            <w:tcW w:type="dxa" w:w="1234"/>
          </w:tcPr>
          <w:p>
            <w:r>
              <w:rPr>
                <w:rFonts w:ascii="Calibri" w:hAnsi="Calibri"/>
                <w:sz w:val="22"/>
              </w:rPr>
              <w:t>29.0%</w:t>
            </w:r>
          </w:p>
        </w:tc>
        <w:tc>
          <w:tcPr>
            <w:tcW w:type="dxa" w:w="1234"/>
          </w:tcPr>
          <w:p>
            <w:r>
              <w:rPr>
                <w:rFonts w:ascii="Calibri" w:hAnsi="Calibri"/>
                <w:sz w:val="22"/>
              </w:rPr>
              <w:t>32.5%</w:t>
            </w:r>
          </w:p>
        </w:tc>
        <w:tc>
          <w:tcPr>
            <w:tcW w:type="dxa" w:w="1234"/>
          </w:tcPr>
          <w:p>
            <w:r>
              <w:rPr>
                <w:rFonts w:ascii="Calibri" w:hAnsi="Calibri"/>
                <w:sz w:val="22"/>
              </w:rPr>
              <w:t>32.1% ¹</w:t>
            </w:r>
          </w:p>
        </w:tc>
        <w:tc>
          <w:tcPr>
            <w:tcW w:type="dxa" w:w="1234"/>
          </w:tcPr>
          <w:p>
            <w:r>
              <w:rPr>
                <w:rFonts w:ascii="Calibri" w:hAnsi="Calibri"/>
                <w:sz w:val="22"/>
              </w:rPr>
              <w:t>-40 bps YoY</w:t>
            </w:r>
          </w:p>
        </w:tc>
        <w:tc>
          <w:tcPr>
            <w:tcW w:type="dxa" w:w="1234"/>
          </w:tcPr>
          <w:p>
            <w:r>
              <w:rPr>
                <w:rFonts w:ascii="Calibri" w:hAnsi="Calibri"/>
                <w:sz w:val="22"/>
              </w:rPr>
              <w:t>~32.2% (midpoint)</w:t>
            </w:r>
          </w:p>
        </w:tc>
        <w:tc>
          <w:tcPr>
            <w:tcW w:type="dxa" w:w="1234"/>
          </w:tcPr>
          <w:p>
            <w:r>
              <w:rPr>
                <w:rFonts w:ascii="Calibri" w:hAnsi="Calibri"/>
                <w:sz w:val="22"/>
              </w:rPr>
              <w:t>-10 bps vs. mid</w:t>
            </w:r>
          </w:p>
        </w:tc>
      </w:tr>
      <w:tr>
        <w:tc>
          <w:tcPr>
            <w:tcW w:type="dxa" w:w="1234"/>
          </w:tcPr>
          <w:p>
            <w:r>
              <w:rPr>
                <w:rFonts w:ascii="Calibri" w:hAnsi="Calibri"/>
                <w:sz w:val="22"/>
              </w:rPr>
              <w:t>Workforce Solutions Revenue</w:t>
            </w:r>
          </w:p>
        </w:tc>
        <w:tc>
          <w:tcPr>
            <w:tcW w:type="dxa" w:w="1234"/>
          </w:tcPr>
          <w:p>
            <w:r>
              <w:rPr>
                <w:rFonts w:ascii="Calibri" w:hAnsi="Calibri"/>
                <w:sz w:val="22"/>
              </w:rPr>
              <w:t>$683.1M</w:t>
            </w:r>
          </w:p>
        </w:tc>
        <w:tc>
          <w:tcPr>
            <w:tcW w:type="dxa" w:w="1234"/>
          </w:tcPr>
          <w:p>
            <w:r>
              <w:rPr>
                <w:rFonts w:ascii="Calibri" w:hAnsi="Calibri"/>
                <w:sz w:val="22"/>
              </w:rPr>
              <w:t>$662.1M</w:t>
            </w:r>
          </w:p>
        </w:tc>
        <w:tc>
          <w:tcPr>
            <w:tcW w:type="dxa" w:w="1234"/>
          </w:tcPr>
          <w:p>
            <w:r>
              <w:rPr>
                <w:rFonts w:ascii="Calibri" w:hAnsi="Calibri"/>
                <w:sz w:val="22"/>
              </w:rPr>
              <w:t>$704.7M ¹</w:t>
            </w:r>
          </w:p>
        </w:tc>
        <w:tc>
          <w:tcPr>
            <w:tcW w:type="dxa" w:w="1234"/>
          </w:tcPr>
          <w:p>
            <w:r>
              <w:rPr>
                <w:rFonts w:ascii="Calibri" w:hAnsi="Calibri"/>
                <w:sz w:val="22"/>
              </w:rPr>
              <w:t>+6.4% YoY</w:t>
            </w:r>
          </w:p>
        </w:tc>
        <w:tc>
          <w:tcPr>
            <w:tcW w:type="dxa" w:w="1234"/>
          </w:tcPr>
          <w:p>
            <w:r>
              <w:rPr>
                <w:rFonts w:ascii="Calibri" w:hAnsi="Calibri"/>
                <w:sz w:val="22"/>
              </w:rPr>
              <w:t>High single-digit growth (FY)</w:t>
            </w:r>
          </w:p>
        </w:tc>
        <w:tc>
          <w:tcPr>
            <w:tcW w:type="dxa" w:w="1234"/>
          </w:tcPr>
          <w:p>
            <w:r>
              <w:rPr>
                <w:rFonts w:ascii="Calibri" w:hAnsi="Calibri"/>
                <w:sz w:val="22"/>
              </w:rPr>
              <w:t>N/A — no Q2-specific segment guidance</w:t>
            </w:r>
          </w:p>
        </w:tc>
      </w:tr>
      <w:tr>
        <w:tc>
          <w:tcPr>
            <w:tcW w:type="dxa" w:w="1234"/>
          </w:tcPr>
          <w:p>
            <w:r>
              <w:rPr>
                <w:rFonts w:ascii="Calibri" w:hAnsi="Calibri"/>
                <w:sz w:val="22"/>
              </w:rPr>
              <w:t>EWS Verification Services — Government Revenue</w:t>
            </w:r>
          </w:p>
        </w:tc>
        <w:tc>
          <w:tcPr>
            <w:tcW w:type="dxa" w:w="1234"/>
          </w:tcPr>
          <w:p>
            <w:r>
              <w:rPr>
                <w:rFonts w:ascii="Calibri" w:hAnsi="Calibri"/>
                <w:sz w:val="22"/>
              </w:rPr>
              <w:t>$206.6M</w:t>
            </w:r>
          </w:p>
        </w:tc>
        <w:tc>
          <w:tcPr>
            <w:tcW w:type="dxa" w:w="1234"/>
          </w:tcPr>
          <w:p>
            <w:r>
              <w:rPr>
                <w:rFonts w:ascii="Calibri" w:hAnsi="Calibri"/>
                <w:sz w:val="22"/>
              </w:rPr>
              <w:t>$208.0M</w:t>
            </w:r>
          </w:p>
        </w:tc>
        <w:tc>
          <w:tcPr>
            <w:tcW w:type="dxa" w:w="1234"/>
          </w:tcPr>
          <w:p>
            <w:r>
              <w:rPr>
                <w:rFonts w:ascii="Calibri" w:hAnsi="Calibri"/>
                <w:sz w:val="22"/>
              </w:rPr>
              <w:t>$207.9M ¹</w:t>
            </w:r>
          </w:p>
        </w:tc>
        <w:tc>
          <w:tcPr>
            <w:tcW w:type="dxa" w:w="1234"/>
          </w:tcPr>
          <w:p>
            <w:r>
              <w:rPr>
                <w:rFonts w:ascii="Calibri" w:hAnsi="Calibri"/>
                <w:sz w:val="22"/>
              </w:rPr>
              <w:t>-0.1% YoY</w:t>
            </w:r>
          </w:p>
        </w:tc>
        <w:tc>
          <w:tcPr>
            <w:tcW w:type="dxa" w:w="1234"/>
          </w:tcPr>
          <w:p>
            <w:r>
              <w:rPr>
                <w:rFonts w:ascii="Calibri" w:hAnsi="Calibri"/>
                <w:sz w:val="22"/>
              </w:rPr>
              <w:t>~Flat sequentially (tough SSA comp)</w:t>
            </w:r>
          </w:p>
        </w:tc>
        <w:tc>
          <w:tcPr>
            <w:tcW w:type="dxa" w:w="1234"/>
          </w:tcPr>
          <w:p>
            <w:r>
              <w:rPr>
                <w:rFonts w:ascii="Calibri" w:hAnsi="Calibri"/>
                <w:sz w:val="22"/>
              </w:rPr>
              <w:t>~In-line</w:t>
            </w:r>
          </w:p>
        </w:tc>
      </w:tr>
      <w:tr>
        <w:tc>
          <w:tcPr>
            <w:tcW w:type="dxa" w:w="1234"/>
          </w:tcPr>
          <w:p>
            <w:r>
              <w:rPr>
                <w:rFonts w:ascii="Calibri" w:hAnsi="Calibri"/>
                <w:sz w:val="22"/>
              </w:rPr>
              <w:t>USIS Mortgage Solutions Revenue</w:t>
            </w:r>
          </w:p>
        </w:tc>
        <w:tc>
          <w:tcPr>
            <w:tcW w:type="dxa" w:w="1234"/>
          </w:tcPr>
          <w:p>
            <w:r>
              <w:rPr>
                <w:rFonts w:ascii="Calibri" w:hAnsi="Calibri"/>
                <w:sz w:val="22"/>
              </w:rPr>
              <w:t>~$42.4M (Q1 2026 est.)</w:t>
            </w:r>
          </w:p>
        </w:tc>
        <w:tc>
          <w:tcPr>
            <w:tcW w:type="dxa" w:w="1234"/>
          </w:tcPr>
          <w:p>
            <w:r>
              <w:rPr>
                <w:rFonts w:ascii="Calibri" w:hAnsi="Calibri"/>
                <w:sz w:val="22"/>
              </w:rPr>
              <w:t>~$43.9M</w:t>
            </w:r>
          </w:p>
        </w:tc>
        <w:tc>
          <w:tcPr>
            <w:tcW w:type="dxa" w:w="1234"/>
          </w:tcPr>
          <w:p>
            <w:r>
              <w:rPr>
                <w:rFonts w:ascii="Calibri" w:hAnsi="Calibri"/>
                <w:sz w:val="22"/>
              </w:rPr>
              <w:t>~$49.9M ¹</w:t>
            </w:r>
          </w:p>
        </w:tc>
        <w:tc>
          <w:tcPr>
            <w:tcW w:type="dxa" w:w="1234"/>
          </w:tcPr>
          <w:p>
            <w:r>
              <w:rPr>
                <w:rFonts w:ascii="Calibri" w:hAnsi="Calibri"/>
                <w:sz w:val="22"/>
              </w:rPr>
              <w:t>+13.7% YoY</w:t>
            </w:r>
          </w:p>
        </w:tc>
        <w:tc>
          <w:tcPr>
            <w:tcW w:type="dxa" w:w="1234"/>
          </w:tcPr>
          <w:p>
            <w:r>
              <w:rPr>
                <w:rFonts w:ascii="Calibri" w:hAnsi="Calibri"/>
                <w:sz w:val="22"/>
              </w:rPr>
              <w:t>U.S. mortgage rev. &gt;20% overall; high single digits ex-FICO</w:t>
            </w:r>
          </w:p>
        </w:tc>
        <w:tc>
          <w:tcPr>
            <w:tcW w:type="dxa" w:w="1234"/>
          </w:tcPr>
          <w:p>
            <w:r>
              <w:rPr>
                <w:rFonts w:ascii="Calibri" w:hAnsi="Calibri"/>
                <w:sz w:val="22"/>
              </w:rPr>
              <w:t>N/A — no direct USIS mortgage $ guidance</w:t>
            </w:r>
          </w:p>
        </w:tc>
      </w:tr>
    </w:tbl>
    <w:p>
      <w:r>
        <w:rPr>
          <w:rFonts w:ascii="Calibri" w:hAnsi="Calibri"/>
          <w:i/>
          <w:color w:val="525866"/>
          <w:sz w:val="22"/>
        </w:rPr>
        <w:t>¹ Source: Visible Alpha Consensus and Actuals Data</w:t>
      </w:r>
    </w:p>
    <w:p>
      <w:pPr>
        <w:pStyle w:val="Heading3"/>
      </w:pPr>
      <w:r>
        <w:rPr>
          <w:rFonts w:ascii="Calibri" w:hAnsi="Calibri"/>
          <w:b/>
          <w:color w:val="3B4259"/>
          <w:sz w:val="24"/>
        </w:rPr>
        <w:t>Table 2 — Beat / Miss History (Last 8 Quarters, Top 2 KPIs)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Total Revenue — Reported</w:t>
            </w:r>
          </w:p>
        </w:tc>
        <w:tc>
          <w:tcPr>
            <w:tcW w:type="dxa" w:w="1080"/>
            <w:shd w:val="clear" w:color="auto" w:fill="3B4259"/>
          </w:tcPr>
          <w:p>
            <w:r>
              <w:rPr>
                <w:rFonts w:ascii="Calibri" w:hAnsi="Calibri"/>
                <w:b/>
                <w:color w:val="FFFFFF"/>
                <w:sz w:val="22"/>
              </w:rPr>
              <w:t>Total Revenue — Consensus</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Adj. EPS — Reported</w:t>
            </w:r>
          </w:p>
        </w:tc>
        <w:tc>
          <w:tcPr>
            <w:tcW w:type="dxa" w:w="1080"/>
            <w:shd w:val="clear" w:color="auto" w:fill="3B4259"/>
          </w:tcPr>
          <w:p>
            <w:r>
              <w:rPr>
                <w:rFonts w:ascii="Calibri" w:hAnsi="Calibri"/>
                <w:b/>
                <w:color w:val="FFFFFF"/>
                <w:sz w:val="22"/>
              </w:rPr>
              <w:t>Adj. EPS —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$1,648.9M</w:t>
            </w:r>
          </w:p>
        </w:tc>
        <w:tc>
          <w:tcPr>
            <w:tcW w:type="dxa" w:w="1080"/>
          </w:tcPr>
          <w:p>
            <w:r>
              <w:rPr>
                <w:rFonts w:ascii="Calibri" w:hAnsi="Calibri"/>
                <w:sz w:val="22"/>
              </w:rPr>
              <w:t>$1,616.0M ¹</w:t>
            </w:r>
          </w:p>
        </w:tc>
        <w:tc>
          <w:tcPr>
            <w:tcW w:type="dxa" w:w="1080"/>
          </w:tcPr>
          <w:p>
            <w:r>
              <w:rPr>
                <w:rFonts w:ascii="Calibri" w:hAnsi="Calibri"/>
                <w:b/>
                <w:color w:val="30A46C"/>
                <w:sz w:val="22"/>
              </w:rPr>
              <w:t>+2.0%</w:t>
            </w:r>
          </w:p>
        </w:tc>
        <w:tc>
          <w:tcPr>
            <w:tcW w:type="dxa" w:w="1080"/>
          </w:tcPr>
          <w:p>
            <w:r>
              <w:rPr>
                <w:rFonts w:ascii="Calibri" w:hAnsi="Calibri"/>
                <w:sz w:val="22"/>
              </w:rPr>
              <w:t>$1.86</w:t>
            </w:r>
          </w:p>
        </w:tc>
        <w:tc>
          <w:tcPr>
            <w:tcW w:type="dxa" w:w="1080"/>
          </w:tcPr>
          <w:p>
            <w:r>
              <w:rPr>
                <w:rFonts w:ascii="Calibri" w:hAnsi="Calibri"/>
                <w:sz w:val="22"/>
              </w:rPr>
              <w:t>$1.71 ¹</w:t>
            </w:r>
          </w:p>
        </w:tc>
        <w:tc>
          <w:tcPr>
            <w:tcW w:type="dxa" w:w="1080"/>
          </w:tcPr>
          <w:p>
            <w:r>
              <w:rPr>
                <w:rFonts w:ascii="Calibri" w:hAnsi="Calibri"/>
                <w:b/>
                <w:color w:val="30A46C"/>
                <w:sz w:val="22"/>
              </w:rPr>
              <w:t>+8.8%</w:t>
            </w:r>
          </w:p>
        </w:tc>
        <w:tc>
          <w:tcPr>
            <w:tcW w:type="dxa" w:w="1080"/>
          </w:tcPr>
          <w:p>
            <w:r>
              <w:rPr>
                <w:rFonts w:ascii="Calibri" w:hAnsi="Calibri"/>
                <w:sz w:val="22"/>
              </w:rPr>
              <w:t>Beat / Beat</w:t>
            </w:r>
          </w:p>
        </w:tc>
      </w:tr>
      <w:tr>
        <w:tc>
          <w:tcPr>
            <w:tcW w:type="dxa" w:w="1080"/>
          </w:tcPr>
          <w:p>
            <w:r>
              <w:rPr>
                <w:rFonts w:ascii="Calibri" w:hAnsi="Calibri"/>
                <w:sz w:val="22"/>
              </w:rPr>
              <w:t>Q4 2025</w:t>
            </w:r>
          </w:p>
        </w:tc>
        <w:tc>
          <w:tcPr>
            <w:tcW w:type="dxa" w:w="1080"/>
          </w:tcPr>
          <w:p>
            <w:r>
              <w:rPr>
                <w:rFonts w:ascii="Calibri" w:hAnsi="Calibri"/>
                <w:sz w:val="22"/>
              </w:rPr>
              <w:t>$1,550.6M</w:t>
            </w:r>
          </w:p>
        </w:tc>
        <w:tc>
          <w:tcPr>
            <w:tcW w:type="dxa" w:w="1080"/>
          </w:tcPr>
          <w:p>
            <w:r>
              <w:rPr>
                <w:rFonts w:ascii="Calibri" w:hAnsi="Calibri"/>
                <w:sz w:val="22"/>
              </w:rPr>
              <w:t>$1,529.9M ¹</w:t>
            </w:r>
          </w:p>
        </w:tc>
        <w:tc>
          <w:tcPr>
            <w:tcW w:type="dxa" w:w="1080"/>
          </w:tcPr>
          <w:p>
            <w:r>
              <w:rPr>
                <w:rFonts w:ascii="Calibri" w:hAnsi="Calibri"/>
                <w:b/>
                <w:color w:val="30A46C"/>
                <w:sz w:val="22"/>
              </w:rPr>
              <w:t>+1.4%</w:t>
            </w:r>
          </w:p>
        </w:tc>
        <w:tc>
          <w:tcPr>
            <w:tcW w:type="dxa" w:w="1080"/>
          </w:tcPr>
          <w:p>
            <w:r>
              <w:rPr>
                <w:rFonts w:ascii="Calibri" w:hAnsi="Calibri"/>
                <w:sz w:val="22"/>
              </w:rPr>
              <w:t>$2.09</w:t>
            </w:r>
          </w:p>
        </w:tc>
        <w:tc>
          <w:tcPr>
            <w:tcW w:type="dxa" w:w="1080"/>
          </w:tcPr>
          <w:p>
            <w:r>
              <w:rPr>
                <w:rFonts w:ascii="Calibri" w:hAnsi="Calibri"/>
                <w:sz w:val="22"/>
              </w:rPr>
              <w:t>$2.07 ¹</w:t>
            </w:r>
          </w:p>
        </w:tc>
        <w:tc>
          <w:tcPr>
            <w:tcW w:type="dxa" w:w="1080"/>
          </w:tcPr>
          <w:p>
            <w:r>
              <w:rPr>
                <w:rFonts w:ascii="Calibri" w:hAnsi="Calibri"/>
                <w:b/>
                <w:color w:val="30A46C"/>
                <w:sz w:val="22"/>
              </w:rPr>
              <w:t>+1.0%</w:t>
            </w:r>
          </w:p>
        </w:tc>
        <w:tc>
          <w:tcPr>
            <w:tcW w:type="dxa" w:w="1080"/>
          </w:tcPr>
          <w:p>
            <w:r>
              <w:rPr>
                <w:rFonts w:ascii="Calibri" w:hAnsi="Calibri"/>
                <w:sz w:val="22"/>
              </w:rPr>
              <w:t>Beat / Beat</w:t>
            </w:r>
          </w:p>
        </w:tc>
      </w:tr>
      <w:tr>
        <w:tc>
          <w:tcPr>
            <w:tcW w:type="dxa" w:w="1080"/>
          </w:tcPr>
          <w:p>
            <w:r>
              <w:rPr>
                <w:rFonts w:ascii="Calibri" w:hAnsi="Calibri"/>
                <w:sz w:val="22"/>
              </w:rPr>
              <w:t>Q3 2025</w:t>
            </w:r>
          </w:p>
        </w:tc>
        <w:tc>
          <w:tcPr>
            <w:tcW w:type="dxa" w:w="1080"/>
          </w:tcPr>
          <w:p>
            <w:r>
              <w:rPr>
                <w:rFonts w:ascii="Calibri" w:hAnsi="Calibri"/>
                <w:sz w:val="22"/>
              </w:rPr>
              <w:t>$1,544.9M</w:t>
            </w:r>
          </w:p>
        </w:tc>
        <w:tc>
          <w:tcPr>
            <w:tcW w:type="dxa" w:w="1080"/>
          </w:tcPr>
          <w:p>
            <w:r>
              <w:rPr>
                <w:rFonts w:ascii="Calibri" w:hAnsi="Calibri"/>
                <w:sz w:val="22"/>
              </w:rPr>
              <w:t>$1,523.6M ¹</w:t>
            </w:r>
          </w:p>
        </w:tc>
        <w:tc>
          <w:tcPr>
            <w:tcW w:type="dxa" w:w="1080"/>
          </w:tcPr>
          <w:p>
            <w:r>
              <w:rPr>
                <w:rFonts w:ascii="Calibri" w:hAnsi="Calibri"/>
                <w:b/>
                <w:color w:val="30A46C"/>
                <w:sz w:val="22"/>
              </w:rPr>
              <w:t>+1.4%</w:t>
            </w:r>
          </w:p>
        </w:tc>
        <w:tc>
          <w:tcPr>
            <w:tcW w:type="dxa" w:w="1080"/>
          </w:tcPr>
          <w:p>
            <w:r>
              <w:rPr>
                <w:rFonts w:ascii="Calibri" w:hAnsi="Calibri"/>
                <w:sz w:val="22"/>
              </w:rPr>
              <w:t>$2.04</w:t>
            </w:r>
          </w:p>
        </w:tc>
        <w:tc>
          <w:tcPr>
            <w:tcW w:type="dxa" w:w="1080"/>
          </w:tcPr>
          <w:p>
            <w:r>
              <w:rPr>
                <w:rFonts w:ascii="Calibri" w:hAnsi="Calibri"/>
                <w:sz w:val="22"/>
              </w:rPr>
              <w:t>$1.94 ¹</w:t>
            </w:r>
          </w:p>
        </w:tc>
        <w:tc>
          <w:tcPr>
            <w:tcW w:type="dxa" w:w="1080"/>
          </w:tcPr>
          <w:p>
            <w:r>
              <w:rPr>
                <w:rFonts w:ascii="Calibri" w:hAnsi="Calibri"/>
                <w:b/>
                <w:color w:val="30A46C"/>
                <w:sz w:val="22"/>
              </w:rPr>
              <w:t>+5.2%</w:t>
            </w:r>
          </w:p>
        </w:tc>
        <w:tc>
          <w:tcPr>
            <w:tcW w:type="dxa" w:w="1080"/>
          </w:tcPr>
          <w:p>
            <w:r>
              <w:rPr>
                <w:rFonts w:ascii="Calibri" w:hAnsi="Calibri"/>
                <w:sz w:val="22"/>
              </w:rPr>
              <w:t>Beat / Beat</w:t>
            </w:r>
          </w:p>
        </w:tc>
      </w:tr>
      <w:tr>
        <w:tc>
          <w:tcPr>
            <w:tcW w:type="dxa" w:w="1080"/>
          </w:tcPr>
          <w:p>
            <w:r>
              <w:rPr>
                <w:rFonts w:ascii="Calibri" w:hAnsi="Calibri"/>
                <w:sz w:val="22"/>
              </w:rPr>
              <w:t>Q2 2025</w:t>
            </w:r>
          </w:p>
        </w:tc>
        <w:tc>
          <w:tcPr>
            <w:tcW w:type="dxa" w:w="1080"/>
          </w:tcPr>
          <w:p>
            <w:r>
              <w:rPr>
                <w:rFonts w:ascii="Calibri" w:hAnsi="Calibri"/>
                <w:sz w:val="22"/>
              </w:rPr>
              <w:t>$1,537.0M</w:t>
            </w:r>
          </w:p>
        </w:tc>
        <w:tc>
          <w:tcPr>
            <w:tcW w:type="dxa" w:w="1080"/>
          </w:tcPr>
          <w:p>
            <w:r>
              <w:rPr>
                <w:rFonts w:ascii="Calibri" w:hAnsi="Calibri"/>
                <w:sz w:val="22"/>
              </w:rPr>
              <w:t>$1,514.2M ¹</w:t>
            </w:r>
          </w:p>
        </w:tc>
        <w:tc>
          <w:tcPr>
            <w:tcW w:type="dxa" w:w="1080"/>
          </w:tcPr>
          <w:p>
            <w:r>
              <w:rPr>
                <w:rFonts w:ascii="Calibri" w:hAnsi="Calibri"/>
                <w:b/>
                <w:color w:val="30A46C"/>
                <w:sz w:val="22"/>
              </w:rPr>
              <w:t>+1.5%</w:t>
            </w:r>
          </w:p>
        </w:tc>
        <w:tc>
          <w:tcPr>
            <w:tcW w:type="dxa" w:w="1080"/>
          </w:tcPr>
          <w:p>
            <w:r>
              <w:rPr>
                <w:rFonts w:ascii="Calibri" w:hAnsi="Calibri"/>
                <w:sz w:val="22"/>
              </w:rPr>
              <w:t>$2.00</w:t>
            </w:r>
          </w:p>
        </w:tc>
        <w:tc>
          <w:tcPr>
            <w:tcW w:type="dxa" w:w="1080"/>
          </w:tcPr>
          <w:p>
            <w:r>
              <w:rPr>
                <w:rFonts w:ascii="Calibri" w:hAnsi="Calibri"/>
                <w:sz w:val="22"/>
              </w:rPr>
              <w:t>$1.93 ¹</w:t>
            </w:r>
          </w:p>
        </w:tc>
        <w:tc>
          <w:tcPr>
            <w:tcW w:type="dxa" w:w="1080"/>
          </w:tcPr>
          <w:p>
            <w:r>
              <w:rPr>
                <w:rFonts w:ascii="Calibri" w:hAnsi="Calibri"/>
                <w:b/>
                <w:color w:val="30A46C"/>
                <w:sz w:val="22"/>
              </w:rPr>
              <w:t>+3.6%</w:t>
            </w:r>
          </w:p>
        </w:tc>
        <w:tc>
          <w:tcPr>
            <w:tcW w:type="dxa" w:w="1080"/>
          </w:tcPr>
          <w:p>
            <w:r>
              <w:rPr>
                <w:rFonts w:ascii="Calibri" w:hAnsi="Calibri"/>
                <w:sz w:val="22"/>
              </w:rPr>
              <w:t>Beat / Beat</w:t>
            </w:r>
          </w:p>
        </w:tc>
      </w:tr>
      <w:tr>
        <w:tc>
          <w:tcPr>
            <w:tcW w:type="dxa" w:w="1080"/>
          </w:tcPr>
          <w:p>
            <w:r>
              <w:rPr>
                <w:rFonts w:ascii="Calibri" w:hAnsi="Calibri"/>
                <w:sz w:val="22"/>
              </w:rPr>
              <w:t>Q1 2025</w:t>
            </w:r>
          </w:p>
        </w:tc>
        <w:tc>
          <w:tcPr>
            <w:tcW w:type="dxa" w:w="1080"/>
          </w:tcPr>
          <w:p>
            <w:r>
              <w:rPr>
                <w:rFonts w:ascii="Calibri" w:hAnsi="Calibri"/>
                <w:sz w:val="22"/>
              </w:rPr>
              <w:t>$1,442.0M</w:t>
            </w:r>
          </w:p>
        </w:tc>
        <w:tc>
          <w:tcPr>
            <w:tcW w:type="dxa" w:w="1080"/>
          </w:tcPr>
          <w:p>
            <w:r>
              <w:rPr>
                <w:rFonts w:ascii="Calibri" w:hAnsi="Calibri"/>
                <w:sz w:val="22"/>
              </w:rPr>
              <w:t>$1,417.3M ¹</w:t>
            </w:r>
          </w:p>
        </w:tc>
        <w:tc>
          <w:tcPr>
            <w:tcW w:type="dxa" w:w="1080"/>
          </w:tcPr>
          <w:p>
            <w:r>
              <w:rPr>
                <w:rFonts w:ascii="Calibri" w:hAnsi="Calibri"/>
                <w:b/>
                <w:color w:val="30A46C"/>
                <w:sz w:val="22"/>
              </w:rPr>
              <w:t>+1.7%</w:t>
            </w:r>
          </w:p>
        </w:tc>
        <w:tc>
          <w:tcPr>
            <w:tcW w:type="dxa" w:w="1080"/>
          </w:tcPr>
          <w:p>
            <w:r>
              <w:rPr>
                <w:rFonts w:ascii="Calibri" w:hAnsi="Calibri"/>
                <w:sz w:val="22"/>
              </w:rPr>
              <w:t>$1.53</w:t>
            </w:r>
          </w:p>
        </w:tc>
        <w:tc>
          <w:tcPr>
            <w:tcW w:type="dxa" w:w="1080"/>
          </w:tcPr>
          <w:p>
            <w:r>
              <w:rPr>
                <w:rFonts w:ascii="Calibri" w:hAnsi="Calibri"/>
                <w:sz w:val="22"/>
              </w:rPr>
              <w:t>$1.42 ¹</w:t>
            </w:r>
          </w:p>
        </w:tc>
        <w:tc>
          <w:tcPr>
            <w:tcW w:type="dxa" w:w="1080"/>
          </w:tcPr>
          <w:p>
            <w:r>
              <w:rPr>
                <w:rFonts w:ascii="Calibri" w:hAnsi="Calibri"/>
                <w:b/>
                <w:color w:val="30A46C"/>
                <w:sz w:val="22"/>
              </w:rPr>
              <w:t>+7.7%</w:t>
            </w:r>
          </w:p>
        </w:tc>
        <w:tc>
          <w:tcPr>
            <w:tcW w:type="dxa" w:w="1080"/>
          </w:tcPr>
          <w:p>
            <w:r>
              <w:rPr>
                <w:rFonts w:ascii="Calibri" w:hAnsi="Calibri"/>
                <w:sz w:val="22"/>
              </w:rPr>
              <w:t>Beat / Beat</w:t>
            </w:r>
          </w:p>
        </w:tc>
      </w:tr>
      <w:tr>
        <w:tc>
          <w:tcPr>
            <w:tcW w:type="dxa" w:w="1080"/>
          </w:tcPr>
          <w:p>
            <w:r>
              <w:rPr>
                <w:rFonts w:ascii="Calibri" w:hAnsi="Calibri"/>
                <w:sz w:val="22"/>
              </w:rPr>
              <w:t>Q4 2024</w:t>
            </w:r>
          </w:p>
        </w:tc>
        <w:tc>
          <w:tcPr>
            <w:tcW w:type="dxa" w:w="1080"/>
          </w:tcPr>
          <w:p>
            <w:r>
              <w:rPr>
                <w:rFonts w:ascii="Calibri" w:hAnsi="Calibri"/>
                <w:sz w:val="22"/>
              </w:rPr>
              <w:t>$1,419.4M</w:t>
            </w:r>
          </w:p>
        </w:tc>
        <w:tc>
          <w:tcPr>
            <w:tcW w:type="dxa" w:w="1080"/>
          </w:tcPr>
          <w:p>
            <w:r>
              <w:rPr>
                <w:rFonts w:ascii="Calibri" w:hAnsi="Calibri"/>
                <w:sz w:val="22"/>
              </w:rPr>
              <w:t>$1,440.0M ¹</w:t>
            </w:r>
          </w:p>
        </w:tc>
        <w:tc>
          <w:tcPr>
            <w:tcW w:type="dxa" w:w="1080"/>
          </w:tcPr>
          <w:p>
            <w:r>
              <w:rPr>
                <w:rFonts w:ascii="Calibri" w:hAnsi="Calibri"/>
                <w:b/>
                <w:color w:val="E5484D"/>
                <w:sz w:val="22"/>
              </w:rPr>
              <w:t>-1.4%</w:t>
            </w:r>
          </w:p>
        </w:tc>
        <w:tc>
          <w:tcPr>
            <w:tcW w:type="dxa" w:w="1080"/>
          </w:tcPr>
          <w:p>
            <w:r>
              <w:rPr>
                <w:rFonts w:ascii="Calibri" w:hAnsi="Calibri"/>
                <w:sz w:val="22"/>
              </w:rPr>
              <w:t>$2.12</w:t>
            </w:r>
          </w:p>
        </w:tc>
        <w:tc>
          <w:tcPr>
            <w:tcW w:type="dxa" w:w="1080"/>
          </w:tcPr>
          <w:p>
            <w:r>
              <w:rPr>
                <w:rFonts w:ascii="Calibri" w:hAnsi="Calibri"/>
                <w:sz w:val="22"/>
              </w:rPr>
              <w:t>$2.11 ¹</w:t>
            </w:r>
          </w:p>
        </w:tc>
        <w:tc>
          <w:tcPr>
            <w:tcW w:type="dxa" w:w="1080"/>
          </w:tcPr>
          <w:p>
            <w:r>
              <w:rPr>
                <w:rFonts w:ascii="Calibri" w:hAnsi="Calibri"/>
                <w:b/>
                <w:color w:val="30A46C"/>
                <w:sz w:val="22"/>
              </w:rPr>
              <w:t>+0.5%</w:t>
            </w:r>
          </w:p>
        </w:tc>
        <w:tc>
          <w:tcPr>
            <w:tcW w:type="dxa" w:w="1080"/>
          </w:tcPr>
          <w:p>
            <w:r>
              <w:rPr>
                <w:rFonts w:ascii="Calibri" w:hAnsi="Calibri"/>
                <w:sz w:val="22"/>
              </w:rPr>
              <w:t>Miss / Beat</w:t>
            </w:r>
          </w:p>
        </w:tc>
      </w:tr>
      <w:tr>
        <w:tc>
          <w:tcPr>
            <w:tcW w:type="dxa" w:w="1080"/>
          </w:tcPr>
          <w:p>
            <w:r>
              <w:rPr>
                <w:rFonts w:ascii="Calibri" w:hAnsi="Calibri"/>
                <w:sz w:val="22"/>
              </w:rPr>
              <w:t>Q3 2024</w:t>
            </w:r>
          </w:p>
        </w:tc>
        <w:tc>
          <w:tcPr>
            <w:tcW w:type="dxa" w:w="1080"/>
          </w:tcPr>
          <w:p>
            <w:r>
              <w:rPr>
                <w:rFonts w:ascii="Calibri" w:hAnsi="Calibri"/>
                <w:sz w:val="22"/>
              </w:rPr>
              <w:t>$1,441.8M</w:t>
            </w:r>
          </w:p>
        </w:tc>
        <w:tc>
          <w:tcPr>
            <w:tcW w:type="dxa" w:w="1080"/>
          </w:tcPr>
          <w:p>
            <w:r>
              <w:rPr>
                <w:rFonts w:ascii="Calibri" w:hAnsi="Calibri"/>
                <w:sz w:val="22"/>
              </w:rPr>
              <w:t>$1,446.1M ¹</w:t>
            </w:r>
          </w:p>
        </w:tc>
        <w:tc>
          <w:tcPr>
            <w:tcW w:type="dxa" w:w="1080"/>
          </w:tcPr>
          <w:p>
            <w:r>
              <w:rPr>
                <w:rFonts w:ascii="Calibri" w:hAnsi="Calibri"/>
                <w:b/>
                <w:color w:val="E5484D"/>
                <w:sz w:val="22"/>
              </w:rPr>
              <w:t>-0.3%</w:t>
            </w:r>
          </w:p>
        </w:tc>
        <w:tc>
          <w:tcPr>
            <w:tcW w:type="dxa" w:w="1080"/>
          </w:tcPr>
          <w:p>
            <w:r>
              <w:rPr>
                <w:rFonts w:ascii="Calibri" w:hAnsi="Calibri"/>
                <w:sz w:val="22"/>
              </w:rPr>
              <w:t>$1.85</w:t>
            </w:r>
          </w:p>
        </w:tc>
        <w:tc>
          <w:tcPr>
            <w:tcW w:type="dxa" w:w="1080"/>
          </w:tcPr>
          <w:p>
            <w:r>
              <w:rPr>
                <w:rFonts w:ascii="Calibri" w:hAnsi="Calibri"/>
                <w:sz w:val="22"/>
              </w:rPr>
              <w:t>$1.87 ¹</w:t>
            </w:r>
          </w:p>
        </w:tc>
        <w:tc>
          <w:tcPr>
            <w:tcW w:type="dxa" w:w="1080"/>
          </w:tcPr>
          <w:p>
            <w:r>
              <w:rPr>
                <w:rFonts w:ascii="Calibri" w:hAnsi="Calibri"/>
                <w:b/>
                <w:color w:val="E5484D"/>
                <w:sz w:val="22"/>
              </w:rPr>
              <w:t>-1.1%</w:t>
            </w:r>
          </w:p>
        </w:tc>
        <w:tc>
          <w:tcPr>
            <w:tcW w:type="dxa" w:w="1080"/>
          </w:tcPr>
          <w:p>
            <w:r>
              <w:rPr>
                <w:rFonts w:ascii="Calibri" w:hAnsi="Calibri"/>
                <w:sz w:val="22"/>
              </w:rPr>
              <w:t>Miss / Miss</w:t>
            </w:r>
          </w:p>
        </w:tc>
      </w:tr>
      <w:tr>
        <w:tc>
          <w:tcPr>
            <w:tcW w:type="dxa" w:w="1080"/>
          </w:tcPr>
          <w:p>
            <w:r>
              <w:rPr>
                <w:rFonts w:ascii="Calibri" w:hAnsi="Calibri"/>
                <w:sz w:val="22"/>
              </w:rPr>
              <w:t>Q2 2024</w:t>
            </w:r>
          </w:p>
        </w:tc>
        <w:tc>
          <w:tcPr>
            <w:tcW w:type="dxa" w:w="1080"/>
          </w:tcPr>
          <w:p>
            <w:r>
              <w:rPr>
                <w:rFonts w:ascii="Calibri" w:hAnsi="Calibri"/>
                <w:sz w:val="22"/>
              </w:rPr>
              <w:t>N/A — not in VA for this window</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¹ Source: Visible Alpha Consensus and Actuals Data</w:t>
      </w:r>
    </w:p>
    <w:p>
      <w:r>
        <w:rPr>
          <w:rFonts w:ascii="Calibri" w:hAnsi="Calibri"/>
          <w:b/>
          <w:color w:val="525866"/>
          <w:sz w:val="22"/>
        </w:rPr>
        <w:t xml:space="preserve">Pattern: </w:t>
      </w:r>
      <w:r>
        <w:rPr>
          <w:rFonts w:ascii="Calibri" w:hAnsi="Calibri"/>
          <w:color w:val="525866"/>
          <w:sz w:val="22"/>
        </w:rPr>
        <w:t>EFX has beaten both revenue and EPS consensus in five of the last six reported quarters, with the two misses concentrated in the softer mortgage environment of mid-2024; the Q1 2026 EPS beat of +8.8% was the largest in the trailing window, driven by mortgage outperformance and operating leverage.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on a constant-currency basis since the Q1 print; management's posture is deliberately conservative given Iran-conflict macro uncertainty, and the Q2 midpoint is widely viewed as a floor rather than a ceiling.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 21,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$1,680M – $1,710M</w:t>
            </w:r>
          </w:p>
        </w:tc>
        <w:tc>
          <w:tcPr>
            <w:tcW w:type="dxa" w:w="1728"/>
          </w:tcPr>
          <w:p>
            <w:r>
              <w:rPr>
                <w:rFonts w:ascii="Calibri" w:hAnsi="Calibri"/>
                <w:sz w:val="22"/>
              </w:rPr>
              <w:t>—</w:t>
            </w:r>
          </w:p>
        </w:tc>
        <w:tc>
          <w:tcPr>
            <w:tcW w:type="dxa" w:w="1728"/>
          </w:tcPr>
          <w:p>
            <w:r>
              <w:rPr>
                <w:rFonts w:ascii="Calibri" w:hAnsi="Calibri"/>
                <w:sz w:val="22"/>
              </w:rPr>
              <w:t>$1,698.7M ¹</w:t>
            </w:r>
          </w:p>
        </w:tc>
        <w:tc>
          <w:tcPr>
            <w:tcW w:type="dxa" w:w="1728"/>
          </w:tcPr>
          <w:p>
            <w:r>
              <w:rPr>
                <w:rFonts w:ascii="Calibri" w:hAnsi="Calibri"/>
                <w:sz w:val="22"/>
              </w:rPr>
              <w:t>Unchanged; consensus sits at midpoint. Management cited Iran-conflict rate uncertainty as reason for conservative anchor.</w:t>
            </w:r>
          </w:p>
        </w:tc>
      </w:tr>
      <w:tr>
        <w:tc>
          <w:tcPr>
            <w:tcW w:type="dxa" w:w="1728"/>
          </w:tcPr>
          <w:p>
            <w:r>
              <w:rPr>
                <w:rFonts w:ascii="Calibri" w:hAnsi="Calibri"/>
                <w:sz w:val="22"/>
              </w:rPr>
              <w:t>Q2 2026 Adj. EPS</w:t>
            </w:r>
          </w:p>
        </w:tc>
        <w:tc>
          <w:tcPr>
            <w:tcW w:type="dxa" w:w="1728"/>
          </w:tcPr>
          <w:p>
            <w:r>
              <w:rPr>
                <w:rFonts w:ascii="Calibri" w:hAnsi="Calibri"/>
                <w:sz w:val="22"/>
              </w:rPr>
              <w:t>$2.15 – $2.25</w:t>
            </w:r>
          </w:p>
        </w:tc>
        <w:tc>
          <w:tcPr>
            <w:tcW w:type="dxa" w:w="1728"/>
          </w:tcPr>
          <w:p>
            <w:r>
              <w:rPr>
                <w:rFonts w:ascii="Calibri" w:hAnsi="Calibri"/>
                <w:sz w:val="22"/>
              </w:rPr>
              <w:t>—</w:t>
            </w:r>
          </w:p>
        </w:tc>
        <w:tc>
          <w:tcPr>
            <w:tcW w:type="dxa" w:w="1728"/>
          </w:tcPr>
          <w:p>
            <w:r>
              <w:rPr>
                <w:rFonts w:ascii="Calibri" w:hAnsi="Calibri"/>
                <w:sz w:val="22"/>
              </w:rPr>
              <w:t>$2.21 ¹</w:t>
            </w:r>
          </w:p>
        </w:tc>
        <w:tc>
          <w:tcPr>
            <w:tcW w:type="dxa" w:w="1728"/>
          </w:tcPr>
          <w:p>
            <w:r>
              <w:rPr>
                <w:rFonts w:ascii="Calibri" w:hAnsi="Calibri"/>
                <w:sz w:val="22"/>
              </w:rPr>
              <w:t>Unchanged; consensus near midpoint.</w:t>
            </w:r>
          </w:p>
        </w:tc>
      </w:tr>
      <w:tr>
        <w:tc>
          <w:tcPr>
            <w:tcW w:type="dxa" w:w="1728"/>
          </w:tcPr>
          <w:p>
            <w:r>
              <w:rPr>
                <w:rFonts w:ascii="Calibri" w:hAnsi="Calibri"/>
                <w:sz w:val="22"/>
              </w:rPr>
              <w:t>Q2 2026 EBITDA Margin</w:t>
            </w:r>
          </w:p>
        </w:tc>
        <w:tc>
          <w:tcPr>
            <w:tcW w:type="dxa" w:w="1728"/>
          </w:tcPr>
          <w:p>
            <w:r>
              <w:rPr>
                <w:rFonts w:ascii="Calibri" w:hAnsi="Calibri"/>
                <w:sz w:val="22"/>
              </w:rPr>
              <w:t>~32.2% (midpoint); ex-FICO 34.3%–34.7%</w:t>
            </w:r>
          </w:p>
        </w:tc>
        <w:tc>
          <w:tcPr>
            <w:tcW w:type="dxa" w:w="1728"/>
          </w:tcPr>
          <w:p>
            <w:r>
              <w:rPr>
                <w:rFonts w:ascii="Calibri" w:hAnsi="Calibri"/>
                <w:sz w:val="22"/>
              </w:rPr>
              <w:t>—</w:t>
            </w:r>
          </w:p>
        </w:tc>
        <w:tc>
          <w:tcPr>
            <w:tcW w:type="dxa" w:w="1728"/>
          </w:tcPr>
          <w:p>
            <w:r>
              <w:rPr>
                <w:rFonts w:ascii="Calibri" w:hAnsi="Calibri"/>
                <w:sz w:val="22"/>
              </w:rPr>
              <w:t>32.1% ¹</w:t>
            </w:r>
          </w:p>
        </w:tc>
        <w:tc>
          <w:tcPr>
            <w:tcW w:type="dxa" w:w="1728"/>
          </w:tcPr>
          <w:p>
            <w:r>
              <w:rPr>
                <w:rFonts w:ascii="Calibri" w:hAnsi="Calibri"/>
                <w:sz w:val="22"/>
              </w:rPr>
              <w:t>Unchanged; ex-FICO margin expansion of &gt;80 bps YoY guided.</w:t>
            </w:r>
          </w:p>
        </w:tc>
      </w:tr>
      <w:tr>
        <w:tc>
          <w:tcPr>
            <w:tcW w:type="dxa" w:w="1728"/>
          </w:tcPr>
          <w:p>
            <w:r>
              <w:rPr>
                <w:rFonts w:ascii="Calibri" w:hAnsi="Calibri"/>
                <w:sz w:val="22"/>
              </w:rPr>
              <w:t>FY 2026 Revenue</w:t>
            </w:r>
          </w:p>
        </w:tc>
        <w:tc>
          <w:tcPr>
            <w:tcW w:type="dxa" w:w="1728"/>
          </w:tcPr>
          <w:p>
            <w:r>
              <w:rPr>
                <w:rFonts w:ascii="Calibri" w:hAnsi="Calibri"/>
                <w:sz w:val="22"/>
              </w:rPr>
              <w:t>$6,685M – $6,805M (midpoint $6,745M; +$25M FX vs. Feb)</w:t>
            </w:r>
          </w:p>
        </w:tc>
        <w:tc>
          <w:tcPr>
            <w:tcW w:type="dxa" w:w="1728"/>
          </w:tcPr>
          <w:p>
            <w:r>
              <w:rPr>
                <w:rFonts w:ascii="Calibri" w:hAnsi="Calibri"/>
                <w:sz w:val="22"/>
              </w:rPr>
              <w:t>—</w:t>
            </w:r>
          </w:p>
        </w:tc>
        <w:tc>
          <w:tcPr>
            <w:tcW w:type="dxa" w:w="1728"/>
          </w:tcPr>
          <w:p>
            <w:r>
              <w:rPr>
                <w:rFonts w:ascii="Calibri" w:hAnsi="Calibri"/>
                <w:sz w:val="22"/>
              </w:rPr>
              <w:t>$6,771.4M ¹</w:t>
            </w:r>
          </w:p>
        </w:tc>
        <w:tc>
          <w:tcPr>
            <w:tcW w:type="dxa" w:w="1728"/>
          </w:tcPr>
          <w:p>
            <w:r>
              <w:rPr>
                <w:rFonts w:ascii="Calibri" w:hAnsi="Calibri"/>
                <w:sz w:val="22"/>
              </w:rPr>
              <w:t>Constant-currency guidance held flat vs. Feb; $25M reported uplift from FX. Consensus slightly above midpoint.</w:t>
            </w:r>
          </w:p>
        </w:tc>
      </w:tr>
      <w:tr>
        <w:tc>
          <w:tcPr>
            <w:tcW w:type="dxa" w:w="1728"/>
          </w:tcPr>
          <w:p>
            <w:r>
              <w:rPr>
                <w:rFonts w:ascii="Calibri" w:hAnsi="Calibri"/>
                <w:sz w:val="22"/>
              </w:rPr>
              <w:t>FY 2026 Adj. EPS</w:t>
            </w:r>
          </w:p>
        </w:tc>
        <w:tc>
          <w:tcPr>
            <w:tcW w:type="dxa" w:w="1728"/>
          </w:tcPr>
          <w:p>
            <w:r>
              <w:rPr>
                <w:rFonts w:ascii="Calibri" w:hAnsi="Calibri"/>
                <w:sz w:val="22"/>
              </w:rPr>
              <w:t>$8.34 – $8.74 (midpoint $8.54; +$0.04 FX vs. Feb)</w:t>
            </w:r>
          </w:p>
        </w:tc>
        <w:tc>
          <w:tcPr>
            <w:tcW w:type="dxa" w:w="1728"/>
          </w:tcPr>
          <w:p>
            <w:r>
              <w:rPr>
                <w:rFonts w:ascii="Calibri" w:hAnsi="Calibri"/>
                <w:sz w:val="22"/>
              </w:rPr>
              <w:t>—</w:t>
            </w:r>
          </w:p>
        </w:tc>
        <w:tc>
          <w:tcPr>
            <w:tcW w:type="dxa" w:w="1728"/>
          </w:tcPr>
          <w:p>
            <w:r>
              <w:rPr>
                <w:rFonts w:ascii="Calibri" w:hAnsi="Calibri"/>
                <w:sz w:val="22"/>
              </w:rPr>
              <w:t>$8.64 ¹</w:t>
            </w:r>
          </w:p>
        </w:tc>
        <w:tc>
          <w:tcPr>
            <w:tcW w:type="dxa" w:w="1728"/>
          </w:tcPr>
          <w:p>
            <w:r>
              <w:rPr>
                <w:rFonts w:ascii="Calibri" w:hAnsi="Calibri"/>
                <w:sz w:val="22"/>
              </w:rPr>
              <w:t>Consensus slightly above midpoint; reflects operating leverage and buyback tailwind.</w:t>
            </w:r>
          </w:p>
        </w:tc>
      </w:tr>
      <w:tr>
        <w:tc>
          <w:tcPr>
            <w:tcW w:type="dxa" w:w="1728"/>
          </w:tcPr>
          <w:p>
            <w:r>
              <w:rPr>
                <w:rFonts w:ascii="Calibri" w:hAnsi="Calibri"/>
                <w:sz w:val="22"/>
              </w:rPr>
              <w:t>FY 2026 EWS Revenue Growth</w:t>
            </w:r>
          </w:p>
        </w:tc>
        <w:tc>
          <w:tcPr>
            <w:tcW w:type="dxa" w:w="1728"/>
          </w:tcPr>
          <w:p>
            <w:r>
              <w:rPr>
                <w:rFonts w:ascii="Calibri" w:hAnsi="Calibri"/>
                <w:sz w:val="22"/>
              </w:rPr>
              <w:t>High single digits; Verification Services high single to low double digits</w:t>
            </w:r>
          </w:p>
        </w:tc>
        <w:tc>
          <w:tcPr>
            <w:tcW w:type="dxa" w:w="1728"/>
          </w:tcPr>
          <w:p>
            <w:r>
              <w:rPr>
                <w:rFonts w:ascii="Calibri" w:hAnsi="Calibri"/>
                <w:sz w:val="22"/>
              </w:rPr>
              <w:t>—</w:t>
            </w:r>
          </w:p>
        </w:tc>
        <w:tc>
          <w:tcPr>
            <w:tcW w:type="dxa" w:w="1728"/>
          </w:tcPr>
          <w:p>
            <w:r>
              <w:rPr>
                <w:rFonts w:ascii="Calibri" w:hAnsi="Calibri"/>
                <w:sz w:val="22"/>
              </w:rPr>
              <w:t>Implied ~7–8% (EWS $2,804.8M FY ¹)</w:t>
            </w:r>
          </w:p>
        </w:tc>
        <w:tc>
          <w:tcPr>
            <w:tcW w:type="dxa" w:w="1728"/>
          </w:tcPr>
          <w:p>
            <w:r>
              <w:rPr>
                <w:rFonts w:ascii="Calibri" w:hAnsi="Calibri"/>
                <w:sz w:val="22"/>
              </w:rPr>
              <w:t>Employer Services now expected to decline slightly (WOTC expiration); unchanged from Q1 call.</w:t>
            </w:r>
          </w:p>
        </w:tc>
      </w:tr>
      <w:tr>
        <w:tc>
          <w:tcPr>
            <w:tcW w:type="dxa" w:w="1728"/>
          </w:tcPr>
          <w:p>
            <w:r>
              <w:rPr>
                <w:rFonts w:ascii="Calibri" w:hAnsi="Calibri"/>
                <w:sz w:val="22"/>
              </w:rPr>
              <w:t>FY 2026 EBITDA Margin (ex-FICO)</w:t>
            </w:r>
          </w:p>
        </w:tc>
        <w:tc>
          <w:tcPr>
            <w:tcW w:type="dxa" w:w="1728"/>
          </w:tcPr>
          <w:p>
            <w:r>
              <w:rPr>
                <w:rFonts w:ascii="Calibri" w:hAnsi="Calibri"/>
                <w:sz w:val="22"/>
              </w:rPr>
              <w:t>+75 bps YoY (25 bps above LT framework)</w:t>
            </w:r>
          </w:p>
        </w:tc>
        <w:tc>
          <w:tcPr>
            <w:tcW w:type="dxa" w:w="1728"/>
          </w:tcPr>
          <w:p>
            <w:r>
              <w:rPr>
                <w:rFonts w:ascii="Calibri" w:hAnsi="Calibri"/>
                <w:sz w:val="22"/>
              </w:rPr>
              <w:t>—</w:t>
            </w:r>
          </w:p>
        </w:tc>
        <w:tc>
          <w:tcPr>
            <w:tcW w:type="dxa" w:w="1728"/>
          </w:tcPr>
          <w:p>
            <w:r>
              <w:rPr>
                <w:rFonts w:ascii="Calibri" w:hAnsi="Calibri"/>
                <w:sz w:val="22"/>
              </w:rPr>
              <w:t>~31.6% reported ¹</w:t>
            </w:r>
          </w:p>
        </w:tc>
        <w:tc>
          <w:tcPr>
            <w:tcW w:type="dxa" w:w="1728"/>
          </w:tcPr>
          <w:p>
            <w:r>
              <w:rPr>
                <w:rFonts w:ascii="Calibri" w:hAnsi="Calibri"/>
                <w:sz w:val="22"/>
              </w:rPr>
              <w:t>Unchanged; Q1 already delivered 80 bps ex-FICO expansion, tracking above target.</w:t>
            </w:r>
          </w:p>
        </w:tc>
      </w:tr>
      <w:tr>
        <w:tc>
          <w:tcPr>
            <w:tcW w:type="dxa" w:w="1728"/>
          </w:tcPr>
          <w:p>
            <w:r>
              <w:rPr>
                <w:rFonts w:ascii="Calibri" w:hAnsi="Calibri"/>
                <w:sz w:val="22"/>
              </w:rPr>
              <w:t>U.S. Mortgage Revenue (FY 2026)</w:t>
            </w:r>
          </w:p>
        </w:tc>
        <w:tc>
          <w:tcPr>
            <w:tcW w:type="dxa" w:w="1728"/>
          </w:tcPr>
          <w:p>
            <w:r>
              <w:rPr>
                <w:rFonts w:ascii="Calibri" w:hAnsi="Calibri"/>
                <w:sz w:val="22"/>
              </w:rPr>
              <w:t>&gt;20% growth; originations down low single digits</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 assumes no VantageScore conversion in 2026.</w:t>
            </w:r>
          </w:p>
        </w:tc>
      </w:tr>
    </w:tbl>
    <w:p>
      <w:r>
        <w:rPr>
          <w:rFonts w:ascii="Calibri" w:hAnsi="Calibri"/>
          <w:i/>
          <w:color w:val="525866"/>
          <w:sz w:val="22"/>
        </w:rPr>
        <w:t>¹ Source: Visible Alpha Consensus and Actuals Data</w:t>
      </w:r>
    </w:p>
    <w:p>
      <w:r>
        <w:rPr>
          <w:rFonts w:ascii="Calibri" w:hAnsi="Calibri"/>
          <w:color w:val="525866"/>
          <w:sz w:val="22"/>
        </w:rPr>
        <w:t>No post-earnings guidance revisions have been issued via 8-K or investor conference since the April 21 call. The July 7 Círculo de Crédito acquisition announcement did not include updated 2026 guidance (deal closes Q4 2026). Management's tone remains cautiously optimistic: they would have raised full-year guidance absent Iran-conflict uncertainty, and the Q2 midpoint is explicitly described as a conservative anchor.</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been essentially flat since the Q1 print, while FY 2026 estimates have drifted slightly higher on FX tailwinds; the gap between consensus and guidance midpoints is narrow, suggesting the street is not pricing in a meaningful beat or miss.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(Post-Q1 Baseline) ¹</w:t>
            </w:r>
          </w:p>
        </w:tc>
        <w:tc>
          <w:tcPr>
            <w:tcW w:type="dxa" w:w="1080"/>
            <w:shd w:val="clear" w:color="auto" w:fill="3B4259"/>
          </w:tcPr>
          <w:p>
            <w:r>
              <w:rPr>
                <w:rFonts w:ascii="Calibri" w:hAnsi="Calibri"/>
                <w:b/>
                <w:color w:val="FFFFFF"/>
                <w:sz w:val="22"/>
              </w:rPr>
              <w:t>Current Consensus ¹</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w:t>
            </w:r>
          </w:p>
        </w:tc>
      </w:tr>
      <w:tr>
        <w:tc>
          <w:tcPr>
            <w:tcW w:type="dxa" w:w="1080"/>
          </w:tcPr>
          <w:p>
            <w:r>
              <w:rPr>
                <w:rFonts w:ascii="Calibri" w:hAnsi="Calibri"/>
                <w:sz w:val="22"/>
              </w:rPr>
              <w:t>Total Revenue — Q2 2026</w:t>
            </w:r>
          </w:p>
        </w:tc>
        <w:tc>
          <w:tcPr>
            <w:tcW w:type="dxa" w:w="1080"/>
          </w:tcPr>
          <w:p>
            <w:r>
              <w:rPr>
                <w:rFonts w:ascii="Calibri" w:hAnsi="Calibri"/>
                <w:sz w:val="22"/>
              </w:rPr>
              <w:t>$1,697.4M</w:t>
            </w:r>
          </w:p>
        </w:tc>
        <w:tc>
          <w:tcPr>
            <w:tcW w:type="dxa" w:w="1080"/>
          </w:tcPr>
          <w:p>
            <w:r>
              <w:rPr>
                <w:rFonts w:ascii="Calibri" w:hAnsi="Calibri"/>
                <w:sz w:val="22"/>
              </w:rPr>
              <w:t>$1,698.7M</w:t>
            </w:r>
          </w:p>
        </w:tc>
        <w:tc>
          <w:tcPr>
            <w:tcW w:type="dxa" w:w="1080"/>
          </w:tcPr>
          <w:p>
            <w:r>
              <w:rPr>
                <w:rFonts w:ascii="Calibri" w:hAnsi="Calibri"/>
                <w:sz w:val="22"/>
              </w:rPr>
              <w:t>+0.1%</w:t>
            </w:r>
          </w:p>
        </w:tc>
        <w:tc>
          <w:tcPr>
            <w:tcW w:type="dxa" w:w="1080"/>
          </w:tcPr>
          <w:p>
            <w:r>
              <w:rPr>
                <w:rFonts w:ascii="Calibri" w:hAnsi="Calibri"/>
                <w:sz w:val="22"/>
              </w:rPr>
              <w:t>$1,680M–$1,710M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$1,695M mid</w:t>
            </w:r>
          </w:p>
        </w:tc>
      </w:tr>
      <w:tr>
        <w:tc>
          <w:tcPr>
            <w:tcW w:type="dxa" w:w="1080"/>
          </w:tcPr>
          <w:p>
            <w:r>
              <w:rPr>
                <w:rFonts w:ascii="Calibri" w:hAnsi="Calibri"/>
                <w:sz w:val="22"/>
              </w:rPr>
              <w:t>Adj. EPS — Q2 2026</w:t>
            </w:r>
          </w:p>
        </w:tc>
        <w:tc>
          <w:tcPr>
            <w:tcW w:type="dxa" w:w="1080"/>
          </w:tcPr>
          <w:p>
            <w:r>
              <w:rPr>
                <w:rFonts w:ascii="Calibri" w:hAnsi="Calibri"/>
                <w:sz w:val="22"/>
              </w:rPr>
              <w:t>$2.21</w:t>
            </w:r>
          </w:p>
        </w:tc>
        <w:tc>
          <w:tcPr>
            <w:tcW w:type="dxa" w:w="1080"/>
          </w:tcPr>
          <w:p>
            <w:r>
              <w:rPr>
                <w:rFonts w:ascii="Calibri" w:hAnsi="Calibri"/>
                <w:sz w:val="22"/>
              </w:rPr>
              <w:t>$2.21</w:t>
            </w:r>
          </w:p>
        </w:tc>
        <w:tc>
          <w:tcPr>
            <w:tcW w:type="dxa" w:w="1080"/>
          </w:tcPr>
          <w:p>
            <w:r>
              <w:rPr>
                <w:rFonts w:ascii="Calibri" w:hAnsi="Calibri"/>
                <w:sz w:val="22"/>
              </w:rPr>
              <w:t>Flat</w:t>
            </w:r>
          </w:p>
        </w:tc>
        <w:tc>
          <w:tcPr>
            <w:tcW w:type="dxa" w:w="1080"/>
          </w:tcPr>
          <w:p>
            <w:r>
              <w:rPr>
                <w:rFonts w:ascii="Calibri" w:hAnsi="Calibri"/>
                <w:sz w:val="22"/>
              </w:rPr>
              <w:t>$2.15–$2.25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$2.20 mid</w:t>
            </w:r>
          </w:p>
        </w:tc>
      </w:tr>
      <w:tr>
        <w:tc>
          <w:tcPr>
            <w:tcW w:type="dxa" w:w="1080"/>
          </w:tcPr>
          <w:p>
            <w:r>
              <w:rPr>
                <w:rFonts w:ascii="Calibri" w:hAnsi="Calibri"/>
                <w:sz w:val="22"/>
              </w:rPr>
              <w:t>EBITDA Margin — Q2 2026</w:t>
            </w:r>
          </w:p>
        </w:tc>
        <w:tc>
          <w:tcPr>
            <w:tcW w:type="dxa" w:w="1080"/>
          </w:tcPr>
          <w:p>
            <w:r>
              <w:rPr>
                <w:rFonts w:ascii="Calibri" w:hAnsi="Calibri"/>
                <w:sz w:val="22"/>
              </w:rPr>
              <w:t>32.2%</w:t>
            </w:r>
          </w:p>
        </w:tc>
        <w:tc>
          <w:tcPr>
            <w:tcW w:type="dxa" w:w="1080"/>
          </w:tcPr>
          <w:p>
            <w:r>
              <w:rPr>
                <w:rFonts w:ascii="Calibri" w:hAnsi="Calibri"/>
                <w:sz w:val="22"/>
              </w:rPr>
              <w:t>32.1%</w:t>
            </w:r>
          </w:p>
        </w:tc>
        <w:tc>
          <w:tcPr>
            <w:tcW w:type="dxa" w:w="1080"/>
          </w:tcPr>
          <w:p>
            <w:r>
              <w:rPr>
                <w:rFonts w:ascii="Calibri" w:hAnsi="Calibri"/>
                <w:sz w:val="22"/>
              </w:rPr>
              <w:t>-10 bps</w:t>
            </w:r>
          </w:p>
        </w:tc>
        <w:tc>
          <w:tcPr>
            <w:tcW w:type="dxa" w:w="1080"/>
          </w:tcPr>
          <w:p>
            <w:r>
              <w:rPr>
                <w:rFonts w:ascii="Calibri" w:hAnsi="Calibri"/>
                <w:sz w:val="22"/>
              </w:rPr>
              <w:t>~32.2%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bps vs. mid</w:t>
            </w:r>
          </w:p>
        </w:tc>
      </w:tr>
      <w:tr>
        <w:tc>
          <w:tcPr>
            <w:tcW w:type="dxa" w:w="1080"/>
          </w:tcPr>
          <w:p>
            <w:r>
              <w:rPr>
                <w:rFonts w:ascii="Calibri" w:hAnsi="Calibri"/>
                <w:sz w:val="22"/>
              </w:rPr>
              <w:t>Total Revenue — FY 2026</w:t>
            </w:r>
          </w:p>
        </w:tc>
        <w:tc>
          <w:tcPr>
            <w:tcW w:type="dxa" w:w="1080"/>
          </w:tcPr>
          <w:p>
            <w:r>
              <w:rPr>
                <w:rFonts w:ascii="Calibri" w:hAnsi="Calibri"/>
                <w:sz w:val="22"/>
              </w:rPr>
              <w:t>$6,772.9M</w:t>
            </w:r>
          </w:p>
        </w:tc>
        <w:tc>
          <w:tcPr>
            <w:tcW w:type="dxa" w:w="1080"/>
          </w:tcPr>
          <w:p>
            <w:r>
              <w:rPr>
                <w:rFonts w:ascii="Calibri" w:hAnsi="Calibri"/>
                <w:sz w:val="22"/>
              </w:rPr>
              <w:t>$6,771.4M</w:t>
            </w:r>
          </w:p>
        </w:tc>
        <w:tc>
          <w:tcPr>
            <w:tcW w:type="dxa" w:w="1080"/>
          </w:tcPr>
          <w:p>
            <w:r>
              <w:rPr>
                <w:rFonts w:ascii="Calibri" w:hAnsi="Calibri"/>
                <w:sz w:val="22"/>
              </w:rPr>
              <w:t>Flat</w:t>
            </w:r>
          </w:p>
        </w:tc>
        <w:tc>
          <w:tcPr>
            <w:tcW w:type="dxa" w:w="1080"/>
          </w:tcPr>
          <w:p>
            <w:r>
              <w:rPr>
                <w:rFonts w:ascii="Calibri" w:hAnsi="Calibri"/>
                <w:sz w:val="22"/>
              </w:rPr>
              <w:t>$6,685M–$6,805M</w:t>
            </w:r>
          </w:p>
        </w:tc>
        <w:tc>
          <w:tcPr>
            <w:tcW w:type="dxa" w:w="1080"/>
          </w:tcPr>
          <w:p>
            <w:r>
              <w:rPr>
                <w:rFonts w:ascii="Calibri" w:hAnsi="Calibri"/>
                <w:sz w:val="22"/>
              </w:rPr>
              <w:t>Unchanged (CC basis); +$25M reported for FX</w:t>
            </w:r>
          </w:p>
        </w:tc>
        <w:tc>
          <w:tcPr>
            <w:tcW w:type="dxa" w:w="1080"/>
          </w:tcPr>
          <w:p>
            <w:r>
              <w:rPr>
                <w:rFonts w:ascii="Calibri" w:hAnsi="Calibri"/>
                <w:sz w:val="22"/>
              </w:rPr>
              <w:t>—</w:t>
            </w:r>
          </w:p>
        </w:tc>
        <w:tc>
          <w:tcPr>
            <w:tcW w:type="dxa" w:w="1080"/>
          </w:tcPr>
          <w:p>
            <w:r>
              <w:rPr>
                <w:rFonts w:ascii="Calibri" w:hAnsi="Calibri"/>
                <w:sz w:val="22"/>
              </w:rPr>
              <w:t>+0.4% vs. $6,745M mid</w:t>
            </w:r>
          </w:p>
        </w:tc>
      </w:tr>
      <w:tr>
        <w:tc>
          <w:tcPr>
            <w:tcW w:type="dxa" w:w="1080"/>
          </w:tcPr>
          <w:p>
            <w:r>
              <w:rPr>
                <w:rFonts w:ascii="Calibri" w:hAnsi="Calibri"/>
                <w:sz w:val="22"/>
              </w:rPr>
              <w:t>Adj. EPS — FY 2026</w:t>
            </w:r>
          </w:p>
        </w:tc>
        <w:tc>
          <w:tcPr>
            <w:tcW w:type="dxa" w:w="1080"/>
          </w:tcPr>
          <w:p>
            <w:r>
              <w:rPr>
                <w:rFonts w:ascii="Calibri" w:hAnsi="Calibri"/>
                <w:sz w:val="22"/>
              </w:rPr>
              <w:t>$8.64</w:t>
            </w:r>
          </w:p>
        </w:tc>
        <w:tc>
          <w:tcPr>
            <w:tcW w:type="dxa" w:w="1080"/>
          </w:tcPr>
          <w:p>
            <w:r>
              <w:rPr>
                <w:rFonts w:ascii="Calibri" w:hAnsi="Calibri"/>
                <w:sz w:val="22"/>
              </w:rPr>
              <w:t>$8.64</w:t>
            </w:r>
          </w:p>
        </w:tc>
        <w:tc>
          <w:tcPr>
            <w:tcW w:type="dxa" w:w="1080"/>
          </w:tcPr>
          <w:p>
            <w:r>
              <w:rPr>
                <w:rFonts w:ascii="Calibri" w:hAnsi="Calibri"/>
                <w:sz w:val="22"/>
              </w:rPr>
              <w:t>Flat</w:t>
            </w:r>
          </w:p>
        </w:tc>
        <w:tc>
          <w:tcPr>
            <w:tcW w:type="dxa" w:w="1080"/>
          </w:tcPr>
          <w:p>
            <w:r>
              <w:rPr>
                <w:rFonts w:ascii="Calibri" w:hAnsi="Calibri"/>
                <w:sz w:val="22"/>
              </w:rPr>
              <w:t>$8.34–$8.74</w:t>
            </w:r>
          </w:p>
        </w:tc>
        <w:tc>
          <w:tcPr>
            <w:tcW w:type="dxa" w:w="1080"/>
          </w:tcPr>
          <w:p>
            <w:r>
              <w:rPr>
                <w:rFonts w:ascii="Calibri" w:hAnsi="Calibri"/>
                <w:sz w:val="22"/>
              </w:rPr>
              <w:t>Unchanged (CC basis); +$0.04 for FX</w:t>
            </w:r>
          </w:p>
        </w:tc>
        <w:tc>
          <w:tcPr>
            <w:tcW w:type="dxa" w:w="1080"/>
          </w:tcPr>
          <w:p>
            <w:r>
              <w:rPr>
                <w:rFonts w:ascii="Calibri" w:hAnsi="Calibri"/>
                <w:sz w:val="22"/>
              </w:rPr>
              <w:t>—</w:t>
            </w:r>
          </w:p>
        </w:tc>
        <w:tc>
          <w:tcPr>
            <w:tcW w:type="dxa" w:w="1080"/>
          </w:tcPr>
          <w:p>
            <w:r>
              <w:rPr>
                <w:rFonts w:ascii="Calibri" w:hAnsi="Calibri"/>
                <w:sz w:val="22"/>
              </w:rPr>
              <w:t>+1.2% vs. $8.54 mid</w:t>
            </w:r>
          </w:p>
        </w:tc>
      </w:tr>
      <w:tr>
        <w:tc>
          <w:tcPr>
            <w:tcW w:type="dxa" w:w="1080"/>
          </w:tcPr>
          <w:p>
            <w:r>
              <w:rPr>
                <w:rFonts w:ascii="Calibri" w:hAnsi="Calibri"/>
                <w:sz w:val="22"/>
              </w:rPr>
              <w:t>EWS Revenue — FY 2026</w:t>
            </w:r>
          </w:p>
        </w:tc>
        <w:tc>
          <w:tcPr>
            <w:tcW w:type="dxa" w:w="1080"/>
          </w:tcPr>
          <w:p>
            <w:r>
              <w:rPr>
                <w:rFonts w:ascii="Calibri" w:hAnsi="Calibri"/>
                <w:sz w:val="22"/>
              </w:rPr>
              <w:t>$2,805.4M</w:t>
            </w:r>
          </w:p>
        </w:tc>
        <w:tc>
          <w:tcPr>
            <w:tcW w:type="dxa" w:w="1080"/>
          </w:tcPr>
          <w:p>
            <w:r>
              <w:rPr>
                <w:rFonts w:ascii="Calibri" w:hAnsi="Calibri"/>
                <w:sz w:val="22"/>
              </w:rPr>
              <w:t>$2,804.8M</w:t>
            </w:r>
          </w:p>
        </w:tc>
        <w:tc>
          <w:tcPr>
            <w:tcW w:type="dxa" w:w="1080"/>
          </w:tcPr>
          <w:p>
            <w:r>
              <w:rPr>
                <w:rFonts w:ascii="Calibri" w:hAnsi="Calibri"/>
                <w:sz w:val="22"/>
              </w:rPr>
              <w:t>Flat</w:t>
            </w:r>
          </w:p>
        </w:tc>
        <w:tc>
          <w:tcPr>
            <w:tcW w:type="dxa" w:w="1080"/>
          </w:tcPr>
          <w:p>
            <w:r>
              <w:rPr>
                <w:rFonts w:ascii="Calibri" w:hAnsi="Calibri"/>
                <w:sz w:val="22"/>
              </w:rPr>
              <w:t>High single-digit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bl>
    <w:p>
      <w:r>
        <w:rPr>
          <w:rFonts w:ascii="Calibri" w:hAnsi="Calibri"/>
          <w:i/>
          <w:color w:val="525866"/>
          <w:sz w:val="22"/>
        </w:rPr>
        <w:t>¹ Source: Visible Alpha Consensus and Actuals Data. Post-Q1 baseline uses consensus as of April 28, 2026 (approximately 5 trading days after the April 21 earnings release).</w:t>
      </w:r>
    </w:p>
    <w:p>
      <w:r>
        <w:rPr>
          <w:rFonts w:ascii="Calibri" w:hAnsi="Calibri"/>
          <w:color w:val="525866"/>
          <w:sz w:val="22"/>
        </w:rPr>
        <w:t>Estimates have been remarkably stable since the Q1 print, tracking guidance midpoints almost exactly. The absence of upward revision despite the Q1 beat reflects the market's caution around Iran-conflict mortgage uncertainty. Any Q2 mortgage outperformance relative to the conservative guidance anchor would likely drive both Q2 and FY estimate upgrades simultaneously.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The -31% 12-month decline is almost entirely multiple compression (EV/EBITDA contracted from ~17.5x to ~11.5x), not earnings deterioration; the recent +16% 1-month recovery suggests sentiment is stabilizing, but the stock remains deeply discounted to history.</w:t>
      </w:r>
    </w:p>
    <w:p>
      <w:r>
        <w:rPr>
          <w:rFonts w:ascii="Calibri" w:hAnsi="Calibri"/>
          <w:color w:val="525866"/>
          <w:sz w:val="22"/>
        </w:rPr>
        <w:t xml:space="preserve">Since the Q1 2026 earnings date (April 21, 2026), EFX has recovered approximately +8–10% through July 20, 2026, outperforming the broader market over that window. Over the trailing 12 months, EFX is down ~31%, driven almost entirely by multiple compression: EV/EBITDA contracted from ~17.5x to ~11.5x (a -34% de-rating), while NTM EBITDA estimates were essentially flat. Over the trailing 1 month, EFX is up ~16%, with ~3.4% attributable to multiple re-expansion and the remainder to estimate stability. The relevant sector benchmark is the </w:t>
      </w:r>
      <w:r>
        <w:rPr>
          <w:rFonts w:ascii="Calibri" w:hAnsi="Calibri"/>
          <w:b/>
          <w:color w:val="525866"/>
          <w:sz w:val="22"/>
        </w:rPr>
        <w:t>SPDR S&amp;P Capital Markets ETF (KCE)</w:t>
      </w:r>
      <w:r>
        <w:rPr>
          <w:rFonts w:ascii="Calibri" w:hAnsi="Calibri"/>
          <w:color w:val="525866"/>
          <w:sz w:val="22"/>
        </w:rPr>
        <w:t xml:space="preserve"> or the broader </w:t>
      </w:r>
      <w:r>
        <w:rPr>
          <w:rFonts w:ascii="Calibri" w:hAnsi="Calibri"/>
          <w:b/>
          <w:color w:val="525866"/>
          <w:sz w:val="22"/>
        </w:rPr>
        <w:t>Financial Select Sector SPDR (XLF)</w:t>
      </w:r>
      <w:r>
        <w:rPr>
          <w:rFonts w:ascii="Calibri" w:hAnsi="Calibri"/>
          <w:color w:val="525866"/>
          <w:sz w:val="22"/>
        </w:rPr>
        <w:t xml:space="preserve">; given EFX’s data/analytics positioning, the </w:t>
      </w:r>
      <w:r>
        <w:rPr>
          <w:rFonts w:ascii="Calibri" w:hAnsi="Calibri"/>
          <w:b/>
          <w:color w:val="525866"/>
          <w:sz w:val="22"/>
        </w:rPr>
        <w:t>iShares Expanded Tech-Software Sector ETF (IGV)</w:t>
      </w:r>
      <w:r>
        <w:rPr>
          <w:rFonts w:ascii="Calibri" w:hAnsi="Calibri"/>
          <w:color w:val="525866"/>
          <w:sz w:val="22"/>
        </w:rPr>
        <w:t xml:space="preserve"> is also a relevant comp. The stock’s 30%+ de-rating over 12 months vs. a flat-to-up market reflects investor skepticism about mortgage exposure and FICO complexity, creating a valuation disconnect with strong operational execution (record Vitality Index, margin expansion ex-FICO, &gt;$1B FCF). Note: A live indexed price chart (EFX vs. XLF vs. S&amp;P 500 since April 21, 2026) was not generated in this preview due to data pipeline constraints; the performance decomposition data above is sourced from the internal stock performance decomposition tool.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EFX Price Return</w:t>
            </w:r>
          </w:p>
        </w:tc>
        <w:tc>
          <w:tcPr>
            <w:tcW w:type="dxa" w:w="1440"/>
            <w:shd w:val="clear" w:color="auto" w:fill="3B4259"/>
          </w:tcPr>
          <w:p>
            <w:r>
              <w:rPr>
                <w:rFonts w:ascii="Calibri" w:hAnsi="Calibri"/>
                <w:b/>
                <w:color w:val="FFFFFF"/>
                <w:sz w:val="22"/>
              </w:rPr>
              <w:t>EV/EBITDA at Start</w:t>
            </w:r>
          </w:p>
        </w:tc>
        <w:tc>
          <w:tcPr>
            <w:tcW w:type="dxa" w:w="1440"/>
            <w:shd w:val="clear" w:color="auto" w:fill="3B4259"/>
          </w:tcPr>
          <w:p>
            <w:r>
              <w:rPr>
                <w:rFonts w:ascii="Calibri" w:hAnsi="Calibri"/>
                <w:b/>
                <w:color w:val="FFFFFF"/>
                <w:sz w:val="22"/>
              </w:rPr>
              <w:t>EV/EBITDA Now (~11.5x)</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b/>
                <w:color w:val="30A46C"/>
                <w:sz w:val="22"/>
              </w:rPr>
              <w:t>+16.3%</w:t>
            </w:r>
          </w:p>
        </w:tc>
        <w:tc>
          <w:tcPr>
            <w:tcW w:type="dxa" w:w="1440"/>
          </w:tcPr>
          <w:p>
            <w:r>
              <w:rPr>
                <w:rFonts w:ascii="Calibri" w:hAnsi="Calibri"/>
                <w:sz w:val="22"/>
              </w:rPr>
              <w:t>~11.1x</w:t>
            </w:r>
          </w:p>
        </w:tc>
        <w:tc>
          <w:tcPr>
            <w:tcW w:type="dxa" w:w="1440"/>
          </w:tcPr>
          <w:p>
            <w:r>
              <w:rPr>
                <w:rFonts w:ascii="Calibri" w:hAnsi="Calibri"/>
                <w:sz w:val="22"/>
              </w:rPr>
              <w:t>~11.5x</w:t>
            </w:r>
          </w:p>
        </w:tc>
        <w:tc>
          <w:tcPr>
            <w:tcW w:type="dxa" w:w="1440"/>
          </w:tcPr>
          <w:p>
            <w:r>
              <w:rPr>
                <w:rFonts w:ascii="Calibri" w:hAnsi="Calibri"/>
                <w:sz w:val="22"/>
              </w:rPr>
              <w:t>+3.4%</w:t>
            </w:r>
          </w:p>
        </w:tc>
        <w:tc>
          <w:tcPr>
            <w:tcW w:type="dxa" w:w="1440"/>
          </w:tcPr>
          <w:p>
            <w:r>
              <w:rPr>
                <w:rFonts w:ascii="Calibri" w:hAnsi="Calibri"/>
                <w:sz w:val="22"/>
              </w:rPr>
              <w:t>Sentiment recovery; Círculo deal announcement</w:t>
            </w:r>
          </w:p>
        </w:tc>
      </w:tr>
      <w:tr>
        <w:tc>
          <w:tcPr>
            <w:tcW w:type="dxa" w:w="1440"/>
          </w:tcPr>
          <w:p>
            <w:r>
              <w:rPr>
                <w:rFonts w:ascii="Calibri" w:hAnsi="Calibri"/>
                <w:sz w:val="22"/>
              </w:rPr>
              <w:t>3 Months</w:t>
            </w:r>
          </w:p>
        </w:tc>
        <w:tc>
          <w:tcPr>
            <w:tcW w:type="dxa" w:w="1440"/>
          </w:tcPr>
          <w:p>
            <w:r>
              <w:rPr>
                <w:rFonts w:ascii="Calibri" w:hAnsi="Calibri"/>
                <w:b/>
                <w:color w:val="E5484D"/>
                <w:sz w:val="22"/>
              </w:rPr>
              <w:t>-8.2%</w:t>
            </w:r>
          </w:p>
        </w:tc>
        <w:tc>
          <w:tcPr>
            <w:tcW w:type="dxa" w:w="1440"/>
          </w:tcPr>
          <w:p>
            <w:r>
              <w:rPr>
                <w:rFonts w:ascii="Calibri" w:hAnsi="Calibri"/>
                <w:sz w:val="22"/>
              </w:rPr>
              <w:t>~12.7x</w:t>
            </w:r>
          </w:p>
        </w:tc>
        <w:tc>
          <w:tcPr>
            <w:tcW w:type="dxa" w:w="1440"/>
          </w:tcPr>
          <w:p>
            <w:r>
              <w:rPr>
                <w:rFonts w:ascii="Calibri" w:hAnsi="Calibri"/>
                <w:sz w:val="22"/>
              </w:rPr>
              <w:t>~11.5x</w:t>
            </w:r>
          </w:p>
        </w:tc>
        <w:tc>
          <w:tcPr>
            <w:tcW w:type="dxa" w:w="1440"/>
          </w:tcPr>
          <w:p>
            <w:r>
              <w:rPr>
                <w:rFonts w:ascii="Calibri" w:hAnsi="Calibri"/>
                <w:sz w:val="22"/>
              </w:rPr>
              <w:t>-9.3%</w:t>
            </w:r>
          </w:p>
        </w:tc>
        <w:tc>
          <w:tcPr>
            <w:tcW w:type="dxa" w:w="1440"/>
          </w:tcPr>
          <w:p>
            <w:r>
              <w:rPr>
                <w:rFonts w:ascii="Calibri" w:hAnsi="Calibri"/>
                <w:sz w:val="22"/>
              </w:rPr>
              <w:t>Iran-conflict rate spike; mortgage volume uncertainty</w:t>
            </w:r>
          </w:p>
        </w:tc>
      </w:tr>
      <w:tr>
        <w:tc>
          <w:tcPr>
            <w:tcW w:type="dxa" w:w="1440"/>
          </w:tcPr>
          <w:p>
            <w:r>
              <w:rPr>
                <w:rFonts w:ascii="Calibri" w:hAnsi="Calibri"/>
                <w:sz w:val="22"/>
              </w:rPr>
              <w:t>6 Months</w:t>
            </w:r>
          </w:p>
        </w:tc>
        <w:tc>
          <w:tcPr>
            <w:tcW w:type="dxa" w:w="1440"/>
          </w:tcPr>
          <w:p>
            <w:r>
              <w:rPr>
                <w:rFonts w:ascii="Calibri" w:hAnsi="Calibri"/>
                <w:b/>
                <w:color w:val="E5484D"/>
                <w:sz w:val="22"/>
              </w:rPr>
              <w:t>-17.8%</w:t>
            </w:r>
          </w:p>
        </w:tc>
        <w:tc>
          <w:tcPr>
            <w:tcW w:type="dxa" w:w="1440"/>
          </w:tcPr>
          <w:p>
            <w:r>
              <w:rPr>
                <w:rFonts w:ascii="Calibri" w:hAnsi="Calibri"/>
                <w:sz w:val="22"/>
              </w:rPr>
              <w:t>~14.5x</w:t>
            </w:r>
          </w:p>
        </w:tc>
        <w:tc>
          <w:tcPr>
            <w:tcW w:type="dxa" w:w="1440"/>
          </w:tcPr>
          <w:p>
            <w:r>
              <w:rPr>
                <w:rFonts w:ascii="Calibri" w:hAnsi="Calibri"/>
                <w:sz w:val="22"/>
              </w:rPr>
              <w:t>~11.5x</w:t>
            </w:r>
          </w:p>
        </w:tc>
        <w:tc>
          <w:tcPr>
            <w:tcW w:type="dxa" w:w="1440"/>
          </w:tcPr>
          <w:p>
            <w:r>
              <w:rPr>
                <w:rFonts w:ascii="Calibri" w:hAnsi="Calibri"/>
                <w:sz w:val="22"/>
              </w:rPr>
              <w:t>-21.1%</w:t>
            </w:r>
          </w:p>
        </w:tc>
        <w:tc>
          <w:tcPr>
            <w:tcW w:type="dxa" w:w="1440"/>
          </w:tcPr>
          <w:p>
            <w:r>
              <w:rPr>
                <w:rFonts w:ascii="Calibri" w:hAnsi="Calibri"/>
                <w:sz w:val="22"/>
              </w:rPr>
              <w:t>Multiple compression; FICO complexity narrative</w:t>
            </w:r>
          </w:p>
        </w:tc>
      </w:tr>
      <w:tr>
        <w:tc>
          <w:tcPr>
            <w:tcW w:type="dxa" w:w="1440"/>
          </w:tcPr>
          <w:p>
            <w:r>
              <w:rPr>
                <w:rFonts w:ascii="Calibri" w:hAnsi="Calibri"/>
                <w:sz w:val="22"/>
              </w:rPr>
              <w:t>12 Months</w:t>
            </w:r>
          </w:p>
        </w:tc>
        <w:tc>
          <w:tcPr>
            <w:tcW w:type="dxa" w:w="1440"/>
          </w:tcPr>
          <w:p>
            <w:r>
              <w:rPr>
                <w:rFonts w:ascii="Calibri" w:hAnsi="Calibri"/>
                <w:b/>
                <w:color w:val="E5484D"/>
                <w:sz w:val="22"/>
              </w:rPr>
              <w:t>-31.1%</w:t>
            </w:r>
          </w:p>
        </w:tc>
        <w:tc>
          <w:tcPr>
            <w:tcW w:type="dxa" w:w="1440"/>
          </w:tcPr>
          <w:p>
            <w:r>
              <w:rPr>
                <w:rFonts w:ascii="Calibri" w:hAnsi="Calibri"/>
                <w:sz w:val="22"/>
              </w:rPr>
              <w:t>~17.5x</w:t>
            </w:r>
          </w:p>
        </w:tc>
        <w:tc>
          <w:tcPr>
            <w:tcW w:type="dxa" w:w="1440"/>
          </w:tcPr>
          <w:p>
            <w:r>
              <w:rPr>
                <w:rFonts w:ascii="Calibri" w:hAnsi="Calibri"/>
                <w:sz w:val="22"/>
              </w:rPr>
              <w:t>~11.5x</w:t>
            </w:r>
          </w:p>
        </w:tc>
        <w:tc>
          <w:tcPr>
            <w:tcW w:type="dxa" w:w="1440"/>
          </w:tcPr>
          <w:p>
            <w:r>
              <w:rPr>
                <w:rFonts w:ascii="Calibri" w:hAnsi="Calibri"/>
                <w:sz w:val="22"/>
              </w:rPr>
              <w:t>-34.3%</w:t>
            </w:r>
          </w:p>
        </w:tc>
        <w:tc>
          <w:tcPr>
            <w:tcW w:type="dxa" w:w="1440"/>
          </w:tcPr>
          <w:p>
            <w:r>
              <w:rPr>
                <w:rFonts w:ascii="Calibri" w:hAnsi="Calibri"/>
                <w:sz w:val="22"/>
              </w:rPr>
              <w:t>Almost entirely multiple compression; estimates flat</w:t>
            </w:r>
          </w:p>
        </w:tc>
      </w:tr>
    </w:tbl>
    <w:p>
      <w:r>
        <w:rPr>
          <w:rFonts w:ascii="Calibri" w:hAnsi="Calibri"/>
          <w:i/>
          <w:color w:val="525866"/>
          <w:sz w:val="22"/>
        </w:rPr>
        <w:t>Source: Internal stock performance decomposition tool (NTM EV/EBITDA multiples).</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$750M Círculo de Crédito acquisition (July 7), which signals continued M&amp;A execution and Mexico market entry; separately, FHFA’s formal VantageScore 4.0 activation (April 22) removes the key regulatory timing risk and shifts the debate to lender conversion pace.</w:t>
      </w:r>
    </w:p>
    <w:p>
      <w:pPr>
        <w:pStyle w:val="ListBullet"/>
        <w:ind w:left="360" w:hanging="360"/>
      </w:pPr>
      <w:r>
        <w:rPr>
          <w:rFonts w:ascii="Calibri" w:hAnsi="Calibri"/>
          <w:color w:val="525866"/>
          <w:sz w:val="22"/>
        </w:rPr>
        <w:t xml:space="preserve">July 7, 2026 — Equifax signs definitive agreement to acquire Círculo de Crédito (Mexico) for $750M enterprise value ($825M purchase price). </w:t>
      </w:r>
      <w:r>
        <w:rPr>
          <w:rFonts w:ascii="Calibri" w:hAnsi="Calibri"/>
          <w:b/>
          <w:color w:val="525866"/>
          <w:sz w:val="22"/>
        </w:rPr>
        <w:t>Círculo is Mexico’s fastest-growing credit bureau</w:t>
      </w:r>
      <w:r>
        <w:rPr>
          <w:rFonts w:ascii="Calibri" w:hAnsi="Calibri"/>
          <w:color w:val="525866"/>
          <w:sz w:val="22"/>
        </w:rPr>
        <w:t xml:space="preserve">, the only one operating both consumer and commercial services, with 2B tradelines and 80M validated identities. LTM revenue ~$134M (+31% YoY), Adjusted EBITDA ~$62M. Expected to close Q4 2026; accretive to Adj. EPS in first full year. Equifax’s 17th bolt-on in six years (~$5B total). </w:t>
      </w:r>
      <w:r>
        <w:rPr>
          <w:rFonts w:ascii="Calibri" w:hAnsi="Calibri"/>
          <w:b/>
          <w:color w:val="525866"/>
          <w:sz w:val="22"/>
        </w:rPr>
        <w:t xml:space="preserve">Implication: </w:t>
      </w:r>
      <w:r>
        <w:rPr>
          <w:rFonts w:ascii="Calibri" w:hAnsi="Calibri"/>
          <w:color w:val="525866"/>
          <w:sz w:val="22"/>
        </w:rPr>
        <w:t>No Q2 P&amp;L impact, but signals continued capital deployment discipline and international growth ambition; adds ~$134M annualized revenue at ~46% EBITDA margin.</w:t>
      </w:r>
    </w:p>
    <w:p>
      <w:pPr>
        <w:pStyle w:val="ListBullet"/>
        <w:ind w:left="360" w:hanging="360"/>
      </w:pPr>
      <w:r>
        <w:rPr>
          <w:rFonts w:ascii="Calibri" w:hAnsi="Calibri"/>
          <w:color w:val="525866"/>
          <w:sz w:val="22"/>
        </w:rPr>
        <w:t xml:space="preserve">April 22, 2026 — FHFA and HUD formally activate VantageScore 4.0 for Fannie Mae, Freddie Mac, and FHA originations. </w:t>
      </w:r>
      <w:r>
        <w:rPr>
          <w:rFonts w:ascii="Calibri" w:hAnsi="Calibri"/>
          <w:b/>
          <w:color w:val="525866"/>
          <w:sz w:val="22"/>
        </w:rPr>
        <w:t>This removes the key regulatory timing risk</w:t>
      </w:r>
      <w:r>
        <w:rPr>
          <w:rFonts w:ascii="Calibri" w:hAnsi="Calibri"/>
          <w:color w:val="525866"/>
          <w:sz w:val="22"/>
        </w:rPr>
        <w:t xml:space="preserve"> that management cited as the reason for assuming zero VantageScore conversion in 2026 guidance. Over 240 lenders now ingesting the free VantageScore; 50+ non-GSE lenders in production. Equifax lowered VantageScore mortgage pricing to $1 (from $4.50) in March 2026. </w:t>
      </w:r>
      <w:r>
        <w:rPr>
          <w:rFonts w:ascii="Calibri" w:hAnsi="Calibri"/>
          <w:b/>
          <w:color w:val="525866"/>
          <w:sz w:val="22"/>
        </w:rPr>
        <w:t xml:space="preserve">Implication: </w:t>
      </w:r>
      <w:r>
        <w:rPr>
          <w:rFonts w:ascii="Calibri" w:hAnsi="Calibri"/>
          <w:color w:val="525866"/>
          <w:sz w:val="22"/>
        </w:rPr>
        <w:t>Any lender conversion in 2H 2026 is pure margin upside (~$35M annual EBITDA at full conversion at current volumes); 2026 guidance assumes zero, making this an unpriced call option.</w:t>
      </w:r>
    </w:p>
    <w:p>
      <w:pPr>
        <w:pStyle w:val="ListBullet"/>
        <w:ind w:left="360" w:hanging="360"/>
      </w:pPr>
      <w:r>
        <w:rPr>
          <w:rFonts w:ascii="Calibri" w:hAnsi="Calibri"/>
          <w:color w:val="525866"/>
          <w:sz w:val="22"/>
        </w:rPr>
        <w:t xml:space="preserve">April 24, 2026 — Equifax upsizes revolving credit facility to $2B and extends maturity. </w:t>
      </w:r>
      <w:r>
        <w:rPr>
          <w:rFonts w:ascii="Calibri" w:hAnsi="Calibri"/>
          <w:b/>
          <w:color w:val="525866"/>
          <w:sz w:val="22"/>
        </w:rPr>
        <w:t xml:space="preserve">Implication: </w:t>
      </w:r>
      <w:r>
        <w:rPr>
          <w:rFonts w:ascii="Calibri" w:hAnsi="Calibri"/>
          <w:color w:val="525866"/>
          <w:sz w:val="22"/>
        </w:rPr>
        <w:t>Enhances financial flexibility for M&amp;A and buybacks; consistent with management’s $1.5B capital deployment capacity for 2026.</w:t>
      </w:r>
    </w:p>
    <w:p>
      <w:pPr>
        <w:pStyle w:val="ListBullet"/>
        <w:ind w:left="360" w:hanging="360"/>
      </w:pPr>
      <w:r>
        <w:rPr>
          <w:rFonts w:ascii="Calibri" w:hAnsi="Calibri"/>
          <w:color w:val="525866"/>
          <w:sz w:val="22"/>
        </w:rPr>
        <w:t xml:space="preserve">April 21, 2026 — Q1 2026 earnings: Record revenue of $1.649B (+14%), $37M above guidance midpoint; Adj. EPS $1.86 (+22%), $0.18 above midpoint. </w:t>
      </w:r>
      <w:r>
        <w:rPr>
          <w:rFonts w:ascii="Calibri" w:hAnsi="Calibri"/>
          <w:b/>
          <w:color w:val="525866"/>
          <w:sz w:val="22"/>
        </w:rPr>
        <w:t>Full-year guidance held flat despite the beat</w:t>
      </w:r>
      <w:r>
        <w:rPr>
          <w:rFonts w:ascii="Calibri" w:hAnsi="Calibri"/>
          <w:color w:val="525866"/>
          <w:sz w:val="22"/>
        </w:rPr>
        <w:t xml:space="preserve"> due to Iran-conflict uncertainty. Quarterly dividend raised 12% to $0.56/share. 1.3M shares repurchased for $260M. </w:t>
      </w:r>
      <w:r>
        <w:rPr>
          <w:rFonts w:ascii="Calibri" w:hAnsi="Calibri"/>
          <w:b/>
          <w:color w:val="525866"/>
          <w:sz w:val="22"/>
        </w:rPr>
        <w:t xml:space="preserve">Implication: </w:t>
      </w:r>
      <w:r>
        <w:rPr>
          <w:rFonts w:ascii="Calibri" w:hAnsi="Calibri"/>
          <w:color w:val="525866"/>
          <w:sz w:val="22"/>
        </w:rPr>
        <w:t>Sets a conservative Q2 anchor; management’s explicit statement that they would have raised guidance absent macro uncertainty is a bullish signal for the Q2 print.</w:t>
      </w:r>
    </w:p>
    <w:p>
      <w:pPr>
        <w:pStyle w:val="ListBullet"/>
        <w:ind w:left="360" w:hanging="360"/>
      </w:pPr>
      <w:r>
        <w:rPr>
          <w:rFonts w:ascii="Calibri" w:hAnsi="Calibri"/>
          <w:color w:val="525866"/>
          <w:sz w:val="22"/>
        </w:rPr>
        <w:t xml:space="preserve">April 2026 — TWN Indicator launched for auto lenders and personal loan originators, expanding beyond mortgage and card. </w:t>
      </w:r>
      <w:r>
        <w:rPr>
          <w:rFonts w:ascii="Calibri" w:hAnsi="Calibri"/>
          <w:b/>
          <w:color w:val="525866"/>
          <w:sz w:val="22"/>
        </w:rPr>
        <w:t xml:space="preserve">Implication: </w:t>
      </w:r>
      <w:r>
        <w:rPr>
          <w:rFonts w:ascii="Calibri" w:hAnsi="Calibri"/>
          <w:color w:val="525866"/>
          <w:sz w:val="22"/>
        </w:rPr>
        <w:t>Incremental revenue driver in Diversified Markets; management expects USIS Diversified Markets to accelerate to mid-single-digit growth in Q2 (vs. 3% in Q1).</w:t>
      </w:r>
    </w:p>
    <w:p>
      <w:pPr>
        <w:pStyle w:val="ListBullet"/>
        <w:ind w:left="360" w:hanging="360"/>
      </w:pPr>
      <w:r>
        <w:rPr>
          <w:rFonts w:ascii="Calibri" w:hAnsi="Calibri"/>
          <w:color w:val="525866"/>
          <w:sz w:val="22"/>
        </w:rPr>
        <w:t xml:space="preserve">June 16, 2026 — Equifax amends bylaws to set 25% shareholder threshold for special meetings (approved at May 12 annual meeting). </w:t>
      </w:r>
      <w:r>
        <w:rPr>
          <w:rFonts w:ascii="Calibri" w:hAnsi="Calibri"/>
          <w:b/>
          <w:color w:val="525866"/>
          <w:sz w:val="22"/>
        </w:rPr>
        <w:t xml:space="preserve">Implication: </w:t>
      </w:r>
      <w:r>
        <w:rPr>
          <w:rFonts w:ascii="Calibri" w:hAnsi="Calibri"/>
          <w:color w:val="525866"/>
          <w:sz w:val="22"/>
        </w:rPr>
        <w:t>Governance update; no material financial impact.</w:t>
      </w:r>
    </w:p>
    <w:p>
      <w:pPr>
        <w:pStyle w:val="ListBullet"/>
        <w:ind w:left="360" w:hanging="360"/>
      </w:pPr>
      <w:r>
        <w:rPr>
          <w:rFonts w:ascii="Calibri" w:hAnsi="Calibri"/>
          <w:color w:val="525866"/>
          <w:sz w:val="22"/>
        </w:rPr>
        <w:t xml:space="preserve">May 2026 — Equifax participates in investor conferences (announced May 2). No material guidance updates disclosed at conferences. </w:t>
      </w:r>
      <w:r>
        <w:rPr>
          <w:rFonts w:ascii="Calibri" w:hAnsi="Calibri"/>
          <w:b/>
          <w:color w:val="525866"/>
          <w:sz w:val="22"/>
        </w:rPr>
        <w:t xml:space="preserve">Implication: </w:t>
      </w:r>
      <w:r>
        <w:rPr>
          <w:rFonts w:ascii="Calibri" w:hAnsi="Calibri"/>
          <w:color w:val="525866"/>
          <w:sz w:val="22"/>
        </w:rPr>
        <w:t>Tone consistent with Q1 call; no pre-announcement.</w:t>
      </w:r>
    </w:p>
    <w:p>
      <w:pPr>
        <w:pStyle w:val="ListBullet"/>
        <w:ind w:left="360" w:hanging="360"/>
      </w:pPr>
      <w:r>
        <w:rPr>
          <w:rFonts w:ascii="Calibri" w:hAnsi="Calibri"/>
          <w:color w:val="525866"/>
          <w:sz w:val="22"/>
        </w:rPr>
        <w:t xml:space="preserve">Ongoing — Iran conflict continues to suppress U.S. mortgage volumes. </w:t>
      </w:r>
      <w:r>
        <w:rPr>
          <w:rFonts w:ascii="Calibri" w:hAnsi="Calibri"/>
          <w:b/>
          <w:color w:val="525866"/>
          <w:sz w:val="22"/>
        </w:rPr>
        <w:t>30-year mortgage rates remain elevated above 6%</w:t>
      </w:r>
      <w:r>
        <w:rPr>
          <w:rFonts w:ascii="Calibri" w:hAnsi="Calibri"/>
          <w:color w:val="525866"/>
          <w:sz w:val="22"/>
        </w:rPr>
        <w:t xml:space="preserve"> (per TransUnion peer commentary), keeping origination volumes near multi-decade lows. </w:t>
      </w:r>
      <w:r>
        <w:rPr>
          <w:rFonts w:ascii="Calibri" w:hAnsi="Calibri"/>
          <w:b/>
          <w:color w:val="525866"/>
          <w:sz w:val="22"/>
        </w:rPr>
        <w:t xml:space="preserve">Implication: </w:t>
      </w:r>
      <w:r>
        <w:rPr>
          <w:rFonts w:ascii="Calibri" w:hAnsi="Calibri"/>
          <w:color w:val="525866"/>
          <w:sz w:val="22"/>
        </w:rPr>
        <w:t>Primary headwind to Q2 mortgage revenue; any rate moderation is the single largest upside catalyst for the remainder of 2026.</w:t>
      </w:r>
    </w:p>
    <w:p>
      <w:r>
        <w:rPr>
          <w:rFonts w:ascii="Calibri" w:hAnsi="Calibri"/>
          <w:i/>
          <w:color w:val="525866"/>
          <w:sz w:val="22"/>
        </w:rPr>
        <w:t>Note: FICO (FICO) announced its Q3 FY2026 earnings date for late July 2026 but had not yet reported as of July 20, 2026. Experian (EXPGY) had no available conference transcripts in the research window. No other credit bureau or data analytics peers provided material Q2 2026 forward-looking commentary in the May 21–July 20, 2026 window.</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three insider transactions since Q1 earnings are 10b5-1 planned sales — no discretionary selling and no open-market purchases; the pattern is unremarkable and does not signal unusual conviction in either direction.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Mark W. Begor</w:t>
            </w:r>
          </w:p>
        </w:tc>
        <w:tc>
          <w:tcPr>
            <w:tcW w:type="dxa" w:w="1234"/>
          </w:tcPr>
          <w:p>
            <w:r>
              <w:rPr>
                <w:rFonts w:ascii="Calibri" w:hAnsi="Calibri"/>
                <w:sz w:val="22"/>
              </w:rPr>
              <w:t>CEO, Director</w:t>
            </w:r>
          </w:p>
        </w:tc>
        <w:tc>
          <w:tcPr>
            <w:tcW w:type="dxa" w:w="1234"/>
          </w:tcPr>
          <w:p>
            <w:r>
              <w:rPr>
                <w:rFonts w:ascii="Calibri" w:hAnsi="Calibri"/>
                <w:sz w:val="22"/>
              </w:rPr>
              <w:t>10b5-1 Planned Sale</w:t>
            </w:r>
          </w:p>
        </w:tc>
        <w:tc>
          <w:tcPr>
            <w:tcW w:type="dxa" w:w="1234"/>
          </w:tcPr>
          <w:p>
            <w:r>
              <w:rPr>
                <w:rFonts w:ascii="Calibri" w:hAnsi="Calibri"/>
                <w:sz w:val="22"/>
              </w:rPr>
              <w:t>37,791 shares</w:t>
            </w:r>
          </w:p>
        </w:tc>
        <w:tc>
          <w:tcPr>
            <w:tcW w:type="dxa" w:w="1234"/>
          </w:tcPr>
          <w:p>
            <w:r>
              <w:rPr>
                <w:rFonts w:ascii="Calibri" w:hAnsi="Calibri"/>
                <w:sz w:val="22"/>
              </w:rPr>
              <w:t>Apr 24, 2026</w:t>
            </w:r>
          </w:p>
        </w:tc>
        <w:tc>
          <w:tcPr>
            <w:tcW w:type="dxa" w:w="1234"/>
          </w:tcPr>
          <w:p>
            <w:r>
              <w:rPr>
                <w:rFonts w:ascii="Calibri" w:hAnsi="Calibri"/>
                <w:sz w:val="22"/>
              </w:rPr>
              <w:t>Apr 28, 2026</w:t>
            </w:r>
          </w:p>
        </w:tc>
        <w:tc>
          <w:tcPr>
            <w:tcW w:type="dxa" w:w="1234"/>
          </w:tcPr>
          <w:p>
            <w:r>
              <w:rPr>
                <w:rFonts w:ascii="Calibri" w:hAnsi="Calibri"/>
                <w:sz w:val="22"/>
              </w:rPr>
              <w:t>Pre-planned; 271,730 shares retained post-sale. Largest transaction by share count but obligation-driven.</w:t>
            </w:r>
          </w:p>
        </w:tc>
      </w:tr>
      <w:tr>
        <w:tc>
          <w:tcPr>
            <w:tcW w:type="dxa" w:w="1234"/>
          </w:tcPr>
          <w:p>
            <w:r>
              <w:rPr>
                <w:rFonts w:ascii="Calibri" w:hAnsi="Calibri"/>
                <w:sz w:val="22"/>
              </w:rPr>
              <w:t>John W. Gamble Jr.</w:t>
            </w:r>
          </w:p>
        </w:tc>
        <w:tc>
          <w:tcPr>
            <w:tcW w:type="dxa" w:w="1234"/>
          </w:tcPr>
          <w:p>
            <w:r>
              <w:rPr>
                <w:rFonts w:ascii="Calibri" w:hAnsi="Calibri"/>
                <w:sz w:val="22"/>
              </w:rPr>
              <w:t>EVP, CFO &amp; COO</w:t>
            </w:r>
          </w:p>
        </w:tc>
        <w:tc>
          <w:tcPr>
            <w:tcW w:type="dxa" w:w="1234"/>
          </w:tcPr>
          <w:p>
            <w:r>
              <w:rPr>
                <w:rFonts w:ascii="Calibri" w:hAnsi="Calibri"/>
                <w:sz w:val="22"/>
              </w:rPr>
              <w:t>10b5-1 Planned Sale</w:t>
            </w:r>
          </w:p>
        </w:tc>
        <w:tc>
          <w:tcPr>
            <w:tcW w:type="dxa" w:w="1234"/>
          </w:tcPr>
          <w:p>
            <w:r>
              <w:rPr>
                <w:rFonts w:ascii="Calibri" w:hAnsi="Calibri"/>
                <w:sz w:val="22"/>
              </w:rPr>
              <w:t>3,500 shares</w:t>
            </w:r>
          </w:p>
        </w:tc>
        <w:tc>
          <w:tcPr>
            <w:tcW w:type="dxa" w:w="1234"/>
          </w:tcPr>
          <w:p>
            <w:r>
              <w:rPr>
                <w:rFonts w:ascii="Calibri" w:hAnsi="Calibri"/>
                <w:sz w:val="22"/>
              </w:rPr>
              <w:t>May 1, 2026</w:t>
            </w:r>
          </w:p>
        </w:tc>
        <w:tc>
          <w:tcPr>
            <w:tcW w:type="dxa" w:w="1234"/>
          </w:tcPr>
          <w:p>
            <w:r>
              <w:rPr>
                <w:rFonts w:ascii="Calibri" w:hAnsi="Calibri"/>
                <w:sz w:val="22"/>
              </w:rPr>
              <w:t>May 5, 2026</w:t>
            </w:r>
          </w:p>
        </w:tc>
        <w:tc>
          <w:tcPr>
            <w:tcW w:type="dxa" w:w="1234"/>
          </w:tcPr>
          <w:p>
            <w:r>
              <w:rPr>
                <w:rFonts w:ascii="Calibri" w:hAnsi="Calibri"/>
                <w:sz w:val="22"/>
              </w:rPr>
              <w:t>Pre-planned; 73,464 shares retained post-sale.</w:t>
            </w:r>
          </w:p>
        </w:tc>
      </w:tr>
      <w:tr>
        <w:tc>
          <w:tcPr>
            <w:tcW w:type="dxa" w:w="1234"/>
          </w:tcPr>
          <w:p>
            <w:r>
              <w:rPr>
                <w:rFonts w:ascii="Calibri" w:hAnsi="Calibri"/>
                <w:sz w:val="22"/>
              </w:rPr>
              <w:t>Chad M. Borton</w:t>
            </w:r>
          </w:p>
        </w:tc>
        <w:tc>
          <w:tcPr>
            <w:tcW w:type="dxa" w:w="1234"/>
          </w:tcPr>
          <w:p>
            <w:r>
              <w:rPr>
                <w:rFonts w:ascii="Calibri" w:hAnsi="Calibri"/>
                <w:sz w:val="22"/>
              </w:rPr>
              <w:t>EVP, President Workforce Solutions</w:t>
            </w:r>
          </w:p>
        </w:tc>
        <w:tc>
          <w:tcPr>
            <w:tcW w:type="dxa" w:w="1234"/>
          </w:tcPr>
          <w:p>
            <w:r>
              <w:rPr>
                <w:rFonts w:ascii="Calibri" w:hAnsi="Calibri"/>
                <w:sz w:val="22"/>
              </w:rPr>
              <w:t>10b5-1 Planned Sale</w:t>
            </w:r>
          </w:p>
        </w:tc>
        <w:tc>
          <w:tcPr>
            <w:tcW w:type="dxa" w:w="1234"/>
          </w:tcPr>
          <w:p>
            <w:r>
              <w:rPr>
                <w:rFonts w:ascii="Calibri" w:hAnsi="Calibri"/>
                <w:sz w:val="22"/>
              </w:rPr>
              <w:t>2,455 shares</w:t>
            </w:r>
          </w:p>
        </w:tc>
        <w:tc>
          <w:tcPr>
            <w:tcW w:type="dxa" w:w="1234"/>
          </w:tcPr>
          <w:p>
            <w:r>
              <w:rPr>
                <w:rFonts w:ascii="Calibri" w:hAnsi="Calibri"/>
                <w:sz w:val="22"/>
              </w:rPr>
              <w:t>May 7, 2026</w:t>
            </w:r>
          </w:p>
        </w:tc>
        <w:tc>
          <w:tcPr>
            <w:tcW w:type="dxa" w:w="1234"/>
          </w:tcPr>
          <w:p>
            <w:r>
              <w:rPr>
                <w:rFonts w:ascii="Calibri" w:hAnsi="Calibri"/>
                <w:sz w:val="22"/>
              </w:rPr>
              <w:t>May 8, 2026</w:t>
            </w:r>
          </w:p>
        </w:tc>
        <w:tc>
          <w:tcPr>
            <w:tcW w:type="dxa" w:w="1234"/>
          </w:tcPr>
          <w:p>
            <w:r>
              <w:rPr>
                <w:rFonts w:ascii="Calibri" w:hAnsi="Calibri"/>
                <w:sz w:val="22"/>
              </w:rPr>
              <w:t>Pre-planned; 29,518 shares retained post-sale.</w:t>
            </w:r>
          </w:p>
        </w:tc>
      </w:tr>
    </w:tbl>
    <w:p>
      <w:r>
        <w:rPr>
          <w:rFonts w:ascii="Calibri" w:hAnsi="Calibri"/>
          <w:i/>
          <w:color w:val="525866"/>
          <w:sz w:val="22"/>
        </w:rPr>
        <w:t>Source: SEC Form 4 Filings Database.</w:t>
      </w:r>
    </w:p>
    <w:p>
      <w:r>
        <w:rPr>
          <w:rFonts w:ascii="Calibri" w:hAnsi="Calibri"/>
          <w:color w:val="525866"/>
          <w:sz w:val="22"/>
        </w:rPr>
        <w:t>All three transactions are 10b5-1 pre-planned sales executed in the weeks immediately following the Q1 earnings blackout window lifting. No open-market discretionary sales or purchases were filed in the April 21–July 20, 2026 window. The CEO’s 37,791-share sale is large in absolute terms but represents a small fraction of his 271,730-share retained position. The absence of any open-market buying despite the stock’s 30%+ 12-month decline is notable but not unusual for executives with diversified compensation structures.</w:t>
      </w:r>
    </w:p>
    <w:p>
      <w:pPr>
        <w:pStyle w:val="Heading2"/>
      </w:pPr>
      <w:r>
        <w:rPr>
          <w:rFonts w:ascii="Calibri" w:hAnsi="Calibri"/>
          <w:b/>
          <w:color w:val="3B4259"/>
          <w:sz w:val="28"/>
        </w:rPr>
        <w:t>9. Key Risks &amp; Questions for Management</w:t>
      </w:r>
    </w:p>
    <w:p>
      <w:r>
        <w:rPr>
          <w:rFonts w:ascii="Calibri" w:hAnsi="Calibri"/>
          <w:b/>
          <w:color w:val="525866"/>
          <w:sz w:val="22"/>
        </w:rPr>
        <w:t xml:space="preserve">Key Takeaway: </w:t>
      </w:r>
      <w:r>
        <w:rPr>
          <w:rFonts w:ascii="Calibri" w:hAnsi="Calibri"/>
          <w:color w:val="525866"/>
          <w:sz w:val="22"/>
        </w:rPr>
        <w:t>The three most important questions for the Q2 call are: (1) how did mortgage volumes track through June relative to the conservative guidance anchor; (2) what is the pace of VantageScore lender conversions post-FHFA activation; and (3) whether the Círculo acquisition changes the FY 2026 capital return framework.</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 xml:space="preserve">Mortgage volume risk (downside): </w:t>
      </w:r>
      <w:r>
        <w:rPr>
          <w:rFonts w:ascii="Calibri" w:hAnsi="Calibri"/>
          <w:color w:val="525866"/>
          <w:sz w:val="22"/>
        </w:rPr>
        <w:t>Iran-conflict-driven rate elevation persists; if 30-year rates remain above 6.5% through June, Q2 mortgage revenue could track below the &gt;20% YoY guidance. This is the single largest P&amp;L swing factor given mortgage’s high incremental margin.</w:t>
      </w:r>
    </w:p>
    <w:p>
      <w:pPr>
        <w:pStyle w:val="ListBullet"/>
        <w:ind w:left="360" w:hanging="360"/>
      </w:pPr>
      <w:r>
        <w:rPr>
          <w:rFonts w:ascii="Calibri" w:hAnsi="Calibri"/>
          <w:b/>
          <w:color w:val="525866"/>
          <w:sz w:val="22"/>
        </w:rPr>
        <w:t xml:space="preserve">Government comp headwind (Q2-specific): </w:t>
      </w:r>
      <w:r>
        <w:rPr>
          <w:rFonts w:ascii="Calibri" w:hAnsi="Calibri"/>
          <w:color w:val="525866"/>
          <w:sz w:val="22"/>
        </w:rPr>
        <w:t>EWS Government faces a very tough sequential comp from the prior-year SSA contract win in April 2025. Management guided government revenue to be "about flat sequentially" in Q2. Any miss here would be a negative read-through for the OB3 pipeline narrative.</w:t>
      </w:r>
    </w:p>
    <w:p>
      <w:pPr>
        <w:pStyle w:val="ListBullet"/>
        <w:ind w:left="360" w:hanging="360"/>
      </w:pPr>
      <w:r>
        <w:rPr>
          <w:rFonts w:ascii="Calibri" w:hAnsi="Calibri"/>
          <w:b/>
          <w:color w:val="525866"/>
          <w:sz w:val="22"/>
        </w:rPr>
        <w:t xml:space="preserve">WOTC expiration drag: </w:t>
      </w:r>
      <w:r>
        <w:rPr>
          <w:rFonts w:ascii="Calibri" w:hAnsi="Calibri"/>
          <w:color w:val="525866"/>
          <w:sz w:val="22"/>
        </w:rPr>
        <w:t>Employer Services revenue is expected to decline slightly in 2026 due to Work Opportunity Tax Credit legislation expiration. Retroactive renewal is historically common but not yet enacted; any further delay extends the drag.</w:t>
      </w:r>
    </w:p>
    <w:p>
      <w:pPr>
        <w:pStyle w:val="ListBullet"/>
        <w:ind w:left="360" w:hanging="360"/>
      </w:pPr>
      <w:r>
        <w:rPr>
          <w:rFonts w:ascii="Calibri" w:hAnsi="Calibri"/>
          <w:b/>
          <w:color w:val="525866"/>
          <w:sz w:val="22"/>
        </w:rPr>
        <w:t xml:space="preserve">FICO pass-through complexity: </w:t>
      </w:r>
      <w:r>
        <w:rPr>
          <w:rFonts w:ascii="Calibri" w:hAnsi="Calibri"/>
          <w:color w:val="525866"/>
          <w:sz w:val="22"/>
        </w:rPr>
        <w:t>FICO’s aggressive mortgage pricing (confirmed by TRU) continues to inflate EFX’s reported revenue while compressing reported margins, creating investor confusion. Any further FICO price increases would widen the reported vs. ex-FICO gap.</w:t>
      </w:r>
    </w:p>
    <w:p>
      <w:pPr>
        <w:pStyle w:val="ListBullet"/>
        <w:ind w:left="360" w:hanging="360"/>
      </w:pPr>
      <w:r>
        <w:rPr>
          <w:rFonts w:ascii="Calibri" w:hAnsi="Calibri"/>
          <w:b/>
          <w:color w:val="525866"/>
          <w:sz w:val="22"/>
        </w:rPr>
        <w:t xml:space="preserve">Círculo acquisition execution risk: </w:t>
      </w:r>
      <w:r>
        <w:rPr>
          <w:rFonts w:ascii="Calibri" w:hAnsi="Calibri"/>
          <w:color w:val="525866"/>
          <w:sz w:val="22"/>
        </w:rPr>
        <w:t>$750M enterprise value for a Mexico credit bureau is a meaningful capital commitment. Regulatory approval and integration risk are real; the deal is subject to Mexican regulatory review and expected to close Q4 2026.</w:t>
      </w:r>
    </w:p>
    <w:p>
      <w:pPr>
        <w:pStyle w:val="ListBullet"/>
        <w:ind w:left="360" w:hanging="360"/>
      </w:pPr>
      <w:r>
        <w:rPr>
          <w:rFonts w:ascii="Calibri" w:hAnsi="Calibri"/>
          <w:b/>
          <w:color w:val="525866"/>
          <w:sz w:val="22"/>
        </w:rPr>
        <w:t xml:space="preserve">VantageScore conversion pace: </w:t>
      </w:r>
      <w:r>
        <w:rPr>
          <w:rFonts w:ascii="Calibri" w:hAnsi="Calibri"/>
          <w:color w:val="525866"/>
          <w:sz w:val="22"/>
        </w:rPr>
        <w:t>FHFA activation has occurred, but lender conversion is a multi-year change management process. If adoption is slower than the market begins to price in, the optionality premium could deflate.</w:t>
      </w:r>
    </w:p>
    <w:p>
      <w:pPr>
        <w:pStyle w:val="ListBullet"/>
        <w:ind w:left="360" w:hanging="360"/>
      </w:pPr>
      <w:r>
        <w:rPr>
          <w:rFonts w:ascii="Calibri" w:hAnsi="Calibri"/>
          <w:b/>
          <w:color w:val="525866"/>
          <w:sz w:val="22"/>
        </w:rPr>
        <w:t xml:space="preserve">Macro / geopolitical escalation: </w:t>
      </w:r>
      <w:r>
        <w:rPr>
          <w:rFonts w:ascii="Calibri" w:hAnsi="Calibri"/>
          <w:color w:val="525866"/>
          <w:sz w:val="22"/>
        </w:rPr>
        <w:t>Any escalation of the Iran conflict that further elevates oil prices and inflation could suppress consumer spending, dampen lender origination activity, and push rate cuts further out.</w:t>
      </w:r>
    </w:p>
    <w:p>
      <w:pPr>
        <w:pStyle w:val="Heading3"/>
      </w:pPr>
      <w:r>
        <w:rPr>
          <w:rFonts w:ascii="Calibri" w:hAnsi="Calibri"/>
          <w:b/>
          <w:color w:val="3B4259"/>
          <w:sz w:val="24"/>
        </w:rPr>
        <w:t>Questions for Management</w:t>
      </w:r>
    </w:p>
    <w:p>
      <w:pPr>
        <w:pStyle w:val="ListNumber"/>
        <w:ind w:left="360" w:hanging="360"/>
      </w:pPr>
      <w:r>
        <w:rPr>
          <w:rFonts w:ascii="Calibri" w:hAnsi="Calibri"/>
          <w:b/>
          <w:color w:val="525866"/>
          <w:sz w:val="22"/>
        </w:rPr>
        <w:t xml:space="preserve">Mortgage volume trajectory through June: </w:t>
      </w:r>
      <w:r>
        <w:rPr>
          <w:rFonts w:ascii="Calibri" w:hAnsi="Calibri"/>
          <w:color w:val="525866"/>
          <w:sz w:val="22"/>
        </w:rPr>
        <w:t>How did U.S. mortgage inquiry volumes track in May and June relative to the "slightly below February framework" run rate you cited in April? Did the TWN Indicator pre-approval share gains continue to provide an offset?</w:t>
      </w:r>
    </w:p>
    <w:p>
      <w:pPr>
        <w:pStyle w:val="ListNumber"/>
        <w:ind w:left="360" w:hanging="360"/>
      </w:pPr>
      <w:r>
        <w:rPr>
          <w:rFonts w:ascii="Calibri" w:hAnsi="Calibri"/>
          <w:b/>
          <w:color w:val="525866"/>
          <w:sz w:val="22"/>
        </w:rPr>
        <w:t xml:space="preserve">VantageScore conversion update: </w:t>
      </w:r>
      <w:r>
        <w:rPr>
          <w:rFonts w:ascii="Calibri" w:hAnsi="Calibri"/>
          <w:color w:val="525866"/>
          <w:sz w:val="22"/>
        </w:rPr>
        <w:t>Following FHFA’s formal activation on April 22 and Rocket/UWM’s public commitments, how many lenders are now in active production with VantageScore? What is your updated view on the 2026 conversion contribution, and does the Círculo announcement change your capital allocation priorities for VantageScore investment?</w:t>
      </w:r>
    </w:p>
    <w:p>
      <w:pPr>
        <w:pStyle w:val="ListNumber"/>
        <w:ind w:left="360" w:hanging="360"/>
      </w:pPr>
      <w:r>
        <w:rPr>
          <w:rFonts w:ascii="Calibri" w:hAnsi="Calibri"/>
          <w:b/>
          <w:color w:val="525866"/>
          <w:sz w:val="22"/>
        </w:rPr>
        <w:t xml:space="preserve">Government pipeline conversion: </w:t>
      </w:r>
      <w:r>
        <w:rPr>
          <w:rFonts w:ascii="Calibri" w:hAnsi="Calibri"/>
          <w:color w:val="525866"/>
          <w:sz w:val="22"/>
        </w:rPr>
        <w:t>The government pipeline is up 2x year-over-year, but deal closures have been "bumpy." How many OB3-related contracts have been activated since Q1, and what is your confidence in the 2H 2026 ramp?</w:t>
      </w:r>
    </w:p>
    <w:p>
      <w:pPr>
        <w:pStyle w:val="ListNumber"/>
        <w:ind w:left="360" w:hanging="360"/>
      </w:pPr>
      <w:r>
        <w:rPr>
          <w:rFonts w:ascii="Calibri" w:hAnsi="Calibri"/>
          <w:b/>
          <w:color w:val="525866"/>
          <w:sz w:val="22"/>
        </w:rPr>
        <w:t xml:space="preserve">Círculo de Crédito and capital return framework: </w:t>
      </w:r>
      <w:r>
        <w:rPr>
          <w:rFonts w:ascii="Calibri" w:hAnsi="Calibri"/>
          <w:color w:val="525866"/>
          <w:sz w:val="22"/>
        </w:rPr>
        <w:t>The $825M purchase price is a meaningful use of the $1.5B capital capacity you outlined. Does this change your 2026 buyback cadence, and how should investors think about the leverage trajectory post-close?</w:t>
      </w:r>
    </w:p>
    <w:p>
      <w:pPr>
        <w:pStyle w:val="ListNumber"/>
        <w:ind w:left="360" w:hanging="360"/>
      </w:pPr>
      <w:r>
        <w:rPr>
          <w:rFonts w:ascii="Calibri" w:hAnsi="Calibri"/>
          <w:b/>
          <w:color w:val="525866"/>
          <w:sz w:val="22"/>
        </w:rPr>
        <w:t xml:space="preserve">USIS Diversified Markets acceleration: </w:t>
      </w:r>
      <w:r>
        <w:rPr>
          <w:rFonts w:ascii="Calibri" w:hAnsi="Calibri"/>
          <w:color w:val="525866"/>
          <w:sz w:val="22"/>
        </w:rPr>
        <w:t>You guided USIS Diversified Markets to accelerate to mid-single-digit growth in Q2 from 3% in Q1, partly driven by TWN Indicator for auto and card. Did that acceleration materialize, and what is the pipeline for new TWN Indicator verticals?</w:t>
      </w:r>
    </w:p>
    <w:p>
      <w:pPr>
        <w:pStyle w:val="ListNumber"/>
        <w:ind w:left="360" w:hanging="360"/>
      </w:pPr>
      <w:r>
        <w:rPr>
          <w:rFonts w:ascii="Calibri" w:hAnsi="Calibri"/>
          <w:b/>
          <w:color w:val="525866"/>
          <w:sz w:val="22"/>
        </w:rPr>
        <w:t xml:space="preserve">AI productivity savings: </w:t>
      </w:r>
      <w:r>
        <w:rPr>
          <w:rFonts w:ascii="Calibri" w:hAnsi="Calibri"/>
          <w:color w:val="525866"/>
          <w:sz w:val="22"/>
        </w:rPr>
        <w:t>You are targeting $75M in AI-driven cost savings over 2026–2027. How much was realized in Q1, and are you on track for the full-year target? Are there any incremental savings opportunities beyond the original three focus areas (operations centers, technology, support functions)?</w:t>
      </w:r>
    </w:p>
    <w:p>
      <w:pPr>
        <w:pStyle w:val="ListNumber"/>
        <w:ind w:left="360" w:hanging="360"/>
      </w:pPr>
      <w:r>
        <w:rPr>
          <w:rFonts w:ascii="Calibri" w:hAnsi="Calibri"/>
          <w:b/>
          <w:color w:val="525866"/>
          <w:sz w:val="22"/>
        </w:rPr>
        <w:t xml:space="preserve">Full-year guidance: </w:t>
      </w:r>
      <w:r>
        <w:rPr>
          <w:rFonts w:ascii="Calibri" w:hAnsi="Calibri"/>
          <w:color w:val="525866"/>
          <w:sz w:val="22"/>
        </w:rPr>
        <w:t>You held FY 2026 guidance despite a $37M Q1 beat, citing Iran-conflict uncertainty. If mortgage volumes in Q2 tracked at or above guidance, would you raise the full-year outlook, and what is the specific macro condition you are waiting for before doing so?</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