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qr-earnings-predictions--2026-07-22"/>
    <w:p>
      <w:pPr>
        <w:pStyle w:val="Heading1"/>
      </w:pPr>
      <w:r>
        <w:t xml:space="preserve">EQR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Normalized FFO/share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~$1.01 vs. cons $1.00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same-store revenue growth (YoY)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~+2.7% vs. cons +2.6%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blended lease rate / new lease scorecard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blended ~4.5% (new lease change ~flat) vs. cons ~4.0%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Normalized FFO/share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4.04</m:t>
              </m:r>
              <m:r>
                <m:rPr>
                  <m:sty m:val="p"/>
                </m:rPr>
                <m:t>−</m:t>
              </m:r>
            </m:oMath>
            <w:r>
              <w:t xml:space="preserve">4.14, mid ~$4.10 vs. cons $4.09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raised to ~2.5% (from 2.2%) vs. cons ~2.4%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expense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~3.0%-4.0%, mid ~3.5% vs. cons ~3.5%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Base case is a modest beat plus a small FY NFFO/revenue guide raise driven by SF/NY strength and April blend acceleration (1.5%-&gt;3.0%), warranting an initial pop. But with the stock near cycle highs (~$68, +10% YTD, having already jumped ~4.5% on the Q1 print) expectations are elevated and much of the coastal/AI narrative is priced. New lease change is still only inflecting toward flat with expansion markets negative, so out-period estimate revisions are capped despite the bullish 2027 supply-cliff setup; analysts trim the back-half optimism and rate sensitivity plus profit-taking pull the day-1 gain back, leaving cumulative return roughly flat (fade).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2026-07-22T00:53:27Z</dcterms:created>
  <dcterms:modified xsi:type="dcterms:W3CDTF">2026-07-22T00:53:27Z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