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EQR (Equity Residential) to build a comprehensive earnings preview. Let me start by gathering recent filings, transcripts, and news.Let me read the Q1 2026 materials and gather more context.Let me get recent stock price data and any recent news/peer context.I have what I need. Let me write the earnings preview.</w:t>
      </w:r>
    </w:p>
    <w:bookmarkStart w:id="20" w:name="X219d8c87dbfe6e6fa556fc0d511ba5d65f8e5e3"/>
    <w:p>
      <w:pPr>
        <w:pStyle w:val="Heading1"/>
      </w:pPr>
      <w:r>
        <w:t xml:space="preserve">Equity Residential (EQR) — Q2 2026 Earnings Preview</w:t>
      </w:r>
    </w:p>
    <w:p>
      <w:pPr>
        <w:pStyle w:val="FirstParagraph"/>
      </w:pPr>
      <w:r>
        <w:rPr>
          <w:b/>
          <w:bCs/>
        </w:rPr>
        <w:t xml:space="preserve">Report date:</w:t>
      </w:r>
      <w:r>
        <w:t xml:space="preserve"> </w:t>
      </w:r>
      <w:r>
        <w:t xml:space="preserve">After market close, Wednesday, July 22, 2026 · Call July 23 · NYSE: EQR</w:t>
      </w:r>
    </w:p>
    <w:p>
      <w:r>
        <w:pict>
          <v:rect style="width:0;height:1.5pt" o:hralign="center" o:hrstd="t" o:hr="t"/>
        </w:pict>
      </w:r>
    </w:p>
    <w:bookmarkStart w:id="9" w:name="the-one-line-setup"/>
    <w:p>
      <w:pPr>
        <w:pStyle w:val="Heading2"/>
      </w:pPr>
      <w:r>
        <w:t xml:space="preserve">The one-line setup</w:t>
      </w:r>
    </w:p>
    <w:p>
      <w:pPr>
        <w:pStyle w:val="FirstParagraph"/>
      </w:pPr>
      <w:r>
        <w:t xml:space="preserve">EQR heads into Q2 as the coastal/urban apartment REIT with the best two-market hand in the sector —</w:t>
      </w:r>
      <w:r>
        <w:t xml:space="preserve"> </w:t>
      </w:r>
      <w:r>
        <w:rPr>
          <w:b/>
          <w:bCs/>
        </w:rPr>
        <w:t xml:space="preserve">San Francisco and New York (~30% of NOI)</w:t>
      </w:r>
      <w:r>
        <w:t xml:space="preserve"> </w:t>
      </w:r>
      <w:r>
        <w:t xml:space="preserve">carrying the portfolio during the seasonally critical peak leasing quarter, while its Sunbelt expansion markets and Seattle/Boston lag. The debate tomorrow is simple:</w:t>
      </w:r>
      <w:r>
        <w:t xml:space="preserve"> </w:t>
      </w:r>
      <w:r>
        <w:rPr>
          <w:b/>
          <w:bCs/>
        </w:rPr>
        <w:t xml:space="preserve">is the AI-driven SF/NY strength enough to trigger a full-year guidance raise</w:t>
      </w:r>
      <w:r>
        <w:t xml:space="preserve">, which management pointedly declined to do in April, calling it "too early."</w:t>
      </w:r>
    </w:p>
    <w:p>
      <w:r>
        <w:pict>
          <v:rect style="width:0;height:1.5pt" o:hralign="center" o:hrstd="t" o:hr="t"/>
        </w:pict>
      </w:r>
    </w:p>
    <w:bookmarkEnd w:id="9"/>
    <w:bookmarkStart w:id="17" w:name="what-to-watch-in-priority-order"/>
    <w:p>
      <w:pPr>
        <w:pStyle w:val="Heading2"/>
      </w:pPr>
      <w:r>
        <w:t xml:space="preserve">What to watch (in priority order)</w:t>
      </w:r>
    </w:p>
    <w:bookmarkStart w:id="10" w:name="X1f8795b8f1740327e35faa3ddc9a061e81fed34"/>
    <w:p>
      <w:pPr>
        <w:pStyle w:val="Heading3"/>
      </w:pPr>
      <w:r>
        <w:t xml:space="preserve">1. The full-year guidance raise (or non-raise)</w:t>
      </w:r>
    </w:p>
    <w:p>
      <w:pPr>
        <w:pStyle w:val="FirstParagraph"/>
      </w:pPr>
      <w:r>
        <w:t xml:space="preserve">This is the swing factor. At Q1, management</w:t>
      </w:r>
      <w:r>
        <w:t xml:space="preserve"> </w:t>
      </w:r>
      <w:r>
        <w:rPr>
          <w:b/>
          <w:bCs/>
        </w:rPr>
        <w:t xml:space="preserve">held</w:t>
      </w:r>
      <w:r>
        <w:t xml:space="preserve"> </w:t>
      </w:r>
      <w:r>
        <w:t xml:space="preserve">2026 Normalized FFO guidance at</w:t>
      </w:r>
      <w:r>
        <w:t xml:space="preserve"> </w:t>
      </w:r>
      <m:oMath>
        <m:r>
          <m:t>4.02</m:t>
        </m:r>
        <m:r>
          <m:rPr>
            <m:sty m:val="p"/>
          </m:rPr>
          <m:t>–</m:t>
        </m:r>
      </m:oMath>
      <w:r>
        <w:rPr>
          <w:b/>
          <w:bCs/>
        </w:rPr>
        <w:t xml:space="preserve">4.14</w:t>
      </w:r>
      <w:r>
        <w:t xml:space="preserve"> </w:t>
      </w:r>
      <w:r>
        <w:t xml:space="preserve">(midpoint ~$4.08) and same-store revenue at</w:t>
      </w:r>
      <w:r>
        <w:t xml:space="preserve"> </w:t>
      </w:r>
      <w:r>
        <w:rPr>
          <w:b/>
          <w:bCs/>
        </w:rPr>
        <w:t xml:space="preserve">1.2%–3.2%</w:t>
      </w:r>
      <w:r>
        <w:t xml:space="preserve">, despite SF/NY "exceeding already high expectations." They explicitly said it was too early in the year to change the outlook. Q2 is historically when apartment REITs true up guidance after seeing the peak leasing season. Given:</w:t>
      </w:r>
    </w:p>
    <w:p>
      <w:pPr>
        <w:pStyle w:val="Compact"/>
        <w:numPr>
          <w:ilvl w:val="0"/>
          <w:numId w:val="1001"/>
        </w:numPr>
      </w:pPr>
      <w:r>
        <w:t xml:space="preserve">SF/NY momentum,</w:t>
      </w:r>
    </w:p>
    <w:p>
      <w:pPr>
        <w:pStyle w:val="Compact"/>
        <w:numPr>
          <w:ilvl w:val="0"/>
          <w:numId w:val="1001"/>
        </w:numPr>
      </w:pPr>
      <w:r>
        <w:t xml:space="preserve">April blended rate already at</w:t>
      </w:r>
      <w:r>
        <w:t xml:space="preserve"> </w:t>
      </w:r>
      <w:r>
        <w:rPr>
          <w:b/>
          <w:bCs/>
        </w:rPr>
        <w:t xml:space="preserve">3.0%</w:t>
      </w:r>
      <w:r>
        <w:t xml:space="preserve"> </w:t>
      </w:r>
      <w:r>
        <w:t xml:space="preserve">(vs. 1.5% in Q1),</w:t>
      </w:r>
    </w:p>
    <w:p>
      <w:pPr>
        <w:pStyle w:val="Compact"/>
        <w:numPr>
          <w:ilvl w:val="0"/>
          <w:numId w:val="1001"/>
        </w:numPr>
      </w:pPr>
      <w:r>
        <w:t xml:space="preserve">and ~$500M of accretive buybacks since Aug 2025,</w:t>
      </w:r>
    </w:p>
    <w:p>
      <w:pPr>
        <w:pStyle w:val="FirstParagraph"/>
      </w:pPr>
      <w:r>
        <w:t xml:space="preserve">…the bar is set for a modest raise.</w:t>
      </w:r>
      <w:r>
        <w:t xml:space="preserve"> </w:t>
      </w:r>
      <w:r>
        <w:rPr>
          <w:b/>
          <w:bCs/>
        </w:rPr>
        <w:t xml:space="preserve">A reiteration without a raise would likely disappoint</w:t>
      </w:r>
      <w:r>
        <w:t xml:space="preserve">, given the stock's run.</w:t>
      </w:r>
    </w:p>
    <w:bookmarkEnd w:id="10"/>
    <w:bookmarkStart w:id="11" w:name="X63ddd36a0d590d902de236799c3f08d13879a73"/>
    <w:p>
      <w:pPr>
        <w:pStyle w:val="Heading3"/>
      </w:pPr>
      <w:r>
        <w:t xml:space="preserve">2. Q2 numbers vs.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Q1 2026 actual</w:t>
            </w:r>
          </w:p>
        </w:tc>
      </w:tr>
      <w:tr>
        <w:tc>
          <w:tcPr/>
          <w:p>
            <w:pPr>
              <w:pStyle w:val="Compact"/>
            </w:pPr>
            <w:r>
              <w:t xml:space="preserve">Normalized FFO/share</w:t>
            </w:r>
          </w:p>
        </w:tc>
        <w:tc>
          <w:tcPr/>
          <w:p>
            <w:pPr>
              <w:pStyle w:val="Compact"/>
            </w:pPr>
            <w:r>
              <w:rPr>
                <w:b/>
                <w:bCs/>
              </w:rPr>
              <w:t xml:space="preserve">$0.98 – $1.02</w:t>
            </w:r>
            <w:r>
              <w:t xml:space="preserve"> </w:t>
            </w:r>
            <w:r>
              <w:t xml:space="preserve">(mid $1.00)</w:t>
            </w:r>
          </w:p>
        </w:tc>
        <w:tc>
          <w:tcPr/>
          <w:p>
            <w:pPr>
              <w:pStyle w:val="Compact"/>
            </w:pPr>
            <w:r>
              <w:t xml:space="preserve">$0.99</w:t>
            </w:r>
          </w:p>
        </w:tc>
      </w:tr>
      <w:tr>
        <w:tc>
          <w:tcPr/>
          <w:p>
            <w:pPr>
              <w:pStyle w:val="Compact"/>
            </w:pPr>
            <w:r>
              <w:t xml:space="preserve">FFO/share</w:t>
            </w:r>
          </w:p>
        </w:tc>
        <w:tc>
          <w:tcPr/>
          <w:p>
            <w:pPr>
              <w:pStyle w:val="Compact"/>
            </w:pPr>
            <w:r>
              <w:t xml:space="preserve">$0.97 – $1.01</w:t>
            </w:r>
          </w:p>
        </w:tc>
        <w:tc>
          <w:tcPr/>
          <w:p>
            <w:pPr>
              <w:pStyle w:val="Compact"/>
            </w:pPr>
            <w:r>
              <w:t xml:space="preserve">$0.89</w:t>
            </w:r>
          </w:p>
        </w:tc>
      </w:tr>
      <w:tr>
        <w:tc>
          <w:tcPr/>
          <w:p>
            <w:pPr>
              <w:pStyle w:val="Compact"/>
            </w:pPr>
            <w:r>
              <w:t xml:space="preserve">EPS</w:t>
            </w:r>
          </w:p>
        </w:tc>
        <w:tc>
          <w:tcPr/>
          <w:p>
            <w:pPr>
              <w:pStyle w:val="Compact"/>
            </w:pPr>
            <w:r>
              <w:t xml:space="preserve">$0.28 – $0.32</w:t>
            </w:r>
          </w:p>
        </w:tc>
        <w:tc>
          <w:tcPr/>
          <w:p>
            <w:pPr>
              <w:pStyle w:val="Compact"/>
            </w:pPr>
            <w:r>
              <w:t xml:space="preserve">$0.24</w:t>
            </w:r>
          </w:p>
        </w:tc>
      </w:tr>
    </w:tbl>
    <w:p>
      <w:pPr>
        <w:pStyle w:val="BodyText"/>
      </w:pPr>
      <w:r>
        <w:t xml:space="preserve">The Q1→Q2 NFFO bridge management laid out:</w:t>
      </w:r>
      <w:r>
        <w:t xml:space="preserve"> </w:t>
      </w:r>
      <w:r>
        <w:rPr>
          <w:b/>
          <w:bCs/>
        </w:rPr>
        <w:t xml:space="preserve">+</w:t>
      </w:r>
      <m:oMath>
        <m:r>
          <m:t>0.03</m:t>
        </m:r>
        <m:r>
          <m:t>f</m:t>
        </m:r>
        <m:r>
          <m:t>r</m:t>
        </m:r>
        <m:r>
          <m:t>o</m:t>
        </m:r>
        <m:r>
          <m:t>m</m:t>
        </m:r>
        <m:r>
          <m:t>s</m:t>
        </m:r>
        <m:r>
          <m:t>a</m:t>
        </m:r>
        <m:r>
          <m:t>m</m:t>
        </m:r>
        <m:r>
          <m:t>e</m:t>
        </m:r>
        <m:r>
          <m:rPr>
            <m:sty m:val="p"/>
          </m:rPr>
          <m:t>−</m:t>
        </m:r>
        <m:r>
          <m:t>s</m:t>
        </m:r>
        <m:r>
          <m:t>t</m:t>
        </m:r>
        <m:r>
          <m:t>o</m:t>
        </m:r>
        <m:r>
          <m:t>r</m:t>
        </m:r>
        <m:r>
          <m:t>e</m:t>
        </m:r>
        <m:r>
          <m:t>N</m:t>
        </m:r>
        <m:r>
          <m:t>O</m:t>
        </m:r>
        <m:r>
          <m:t>I</m:t>
        </m:r>
        <m:r>
          <m:rPr>
            <m:sty m:val="p"/>
          </m:rPr>
          <m:t>*</m:t>
        </m:r>
        <m:r>
          <m:rPr>
            <m:sty m:val="p"/>
          </m:rPr>
          <m:t>*</m:t>
        </m:r>
        <m:r>
          <m:rPr>
            <m:sty m:val="p"/>
          </m:rPr>
          <m:t>,</m:t>
        </m:r>
        <m:r>
          <m:t>o</m:t>
        </m:r>
        <m:r>
          <m:t>f</m:t>
        </m:r>
        <m:r>
          <m:t>f</m:t>
        </m:r>
        <m:r>
          <m:t>s</m:t>
        </m:r>
        <m:r>
          <m:t>e</m:t>
        </m:r>
        <m:r>
          <m:t>t</m:t>
        </m:r>
        <m:r>
          <m:t>b</m:t>
        </m:r>
        <m:r>
          <m:t>y</m:t>
        </m:r>
        <m:r>
          <m:rPr>
            <m:sty m:val="p"/>
          </m:rPr>
          <m:t>*</m:t>
        </m:r>
        <m:r>
          <m:rPr>
            <m:sty m:val="p"/>
          </m:rPr>
          <m:t>*</m:t>
        </m:r>
        <m:r>
          <m:rPr>
            <m:sty m:val="p"/>
          </m:rPr>
          <m:t>−</m:t>
        </m:r>
      </m:oMath>
      <w:r>
        <w:rPr>
          <w:b/>
          <w:bCs/>
        </w:rPr>
        <w:t xml:space="preserve">0.01 interest expense</w:t>
      </w:r>
      <w:r>
        <w:t xml:space="preserve"> </w:t>
      </w:r>
      <w:r>
        <w:t xml:space="preserve">and</w:t>
      </w:r>
      <w:r>
        <w:t xml:space="preserve"> </w:t>
      </w:r>
      <w:r>
        <w:rPr>
          <w:b/>
          <w:bCs/>
        </w:rPr>
        <w:t xml:space="preserve">−$0.01 corporate overhead</w:t>
      </w:r>
      <w:r>
        <w:t xml:space="preserve">. Watch whether same-store NOI beats that $0.03 contribution.</w:t>
      </w:r>
    </w:p>
    <w:bookmarkEnd w:id="11"/>
    <w:bookmarkStart w:id="12" w:name="Xb91edac2bf682ada587fdd3866d00d6eea70d01"/>
    <w:p>
      <w:pPr>
        <w:pStyle w:val="Heading3"/>
      </w:pPr>
      <w:r>
        <w:t xml:space="preserve">3. The leasing-season scorecard — pricing power inflection</w:t>
      </w:r>
    </w:p>
    <w:p>
      <w:pPr>
        <w:pStyle w:val="FirstParagraph"/>
      </w:pPr>
      <w:r>
        <w:t xml:space="preserve">This is the real story. EQR's framework is a "continuum": occupancy → fewer concessions → base-rent increases → higher blends. Key Q1/April data points to build on:</w:t>
      </w:r>
    </w:p>
    <w:p>
      <w:pPr>
        <w:pStyle w:val="Compact"/>
        <w:numPr>
          <w:ilvl w:val="0"/>
          <w:numId w:val="1002"/>
        </w:numPr>
      </w:pPr>
      <w:r>
        <w:rPr>
          <w:b/>
          <w:bCs/>
        </w:rPr>
        <w:t xml:space="preserve">Blended rate:</w:t>
      </w:r>
      <w:r>
        <w:t xml:space="preserve"> </w:t>
      </w:r>
      <w:r>
        <w:t xml:space="preserve">1.5% in Q1 →</w:t>
      </w:r>
      <w:r>
        <w:t xml:space="preserve"> </w:t>
      </w:r>
      <w:r>
        <w:rPr>
          <w:b/>
          <w:bCs/>
        </w:rPr>
        <w:t xml:space="preserve">3.0% in April</w:t>
      </w:r>
      <w:r>
        <w:t xml:space="preserve"> </w:t>
      </w:r>
      <w:r>
        <w:t xml:space="preserve">(+130 bps sequential improvement from Q4). Q2 should show a further sequential build; look for a</w:t>
      </w:r>
      <w:r>
        <w:t xml:space="preserve"> </w:t>
      </w:r>
      <w:r>
        <w:rPr>
          <w:b/>
          <w:bCs/>
        </w:rPr>
        <w:t xml:space="preserve">4%+ handle</w:t>
      </w:r>
      <w:r>
        <w:t xml:space="preserve">.</w:t>
      </w:r>
    </w:p>
    <w:p>
      <w:pPr>
        <w:pStyle w:val="Compact"/>
        <w:numPr>
          <w:ilvl w:val="0"/>
          <w:numId w:val="1002"/>
        </w:numPr>
      </w:pPr>
      <w:r>
        <w:rPr>
          <w:b/>
          <w:bCs/>
        </w:rPr>
        <w:t xml:space="preserve">New lease change:</w:t>
      </w:r>
      <w:r>
        <w:t xml:space="preserve"> </w:t>
      </w:r>
      <w:r>
        <w:t xml:space="preserve">−2.8% in Q1, improving to</w:t>
      </w:r>
      <w:r>
        <w:t xml:space="preserve"> </w:t>
      </w:r>
      <w:r>
        <w:rPr>
          <w:b/>
          <w:bCs/>
        </w:rPr>
        <w:t xml:space="preserve">−1.1% in April</w:t>
      </w:r>
      <w:r>
        <w:t xml:space="preserve">. Management guided that new lease change should approach</w:t>
      </w:r>
      <w:r>
        <w:t xml:space="preserve"> </w:t>
      </w:r>
      <w:r>
        <w:rPr>
          <w:b/>
          <w:bCs/>
        </w:rPr>
        <w:t xml:space="preserve">flat by quarter-end</w:t>
      </w:r>
      <w:r>
        <w:t xml:space="preserve"> </w:t>
      </w:r>
      <w:r>
        <w:t xml:space="preserve">— an inflection to watch. SF is already running near +10%; expansion markets still negative.</w:t>
      </w:r>
    </w:p>
    <w:p>
      <w:pPr>
        <w:pStyle w:val="Compact"/>
        <w:numPr>
          <w:ilvl w:val="0"/>
          <w:numId w:val="1002"/>
        </w:numPr>
      </w:pPr>
      <w:r>
        <w:rPr>
          <w:b/>
          <w:bCs/>
        </w:rPr>
        <w:t xml:space="preserve">Renewals:</w:t>
      </w:r>
      <w:r>
        <w:t xml:space="preserve"> </w:t>
      </w:r>
      <w:r>
        <w:t xml:space="preserve">4.7% achieved in Q1,</w:t>
      </w:r>
      <w:r>
        <w:t xml:space="preserve"> </w:t>
      </w:r>
      <w:r>
        <w:rPr>
          <w:b/>
          <w:bCs/>
        </w:rPr>
        <w:t xml:space="preserve">5.3% in April</w:t>
      </w:r>
      <w:r>
        <w:t xml:space="preserve">; quotes were out "just over 6%," with the team confident in landing</w:t>
      </w:r>
      <w:r>
        <w:t xml:space="preserve"> </w:t>
      </w:r>
      <w:r>
        <w:rPr>
          <w:b/>
          <w:bCs/>
        </w:rPr>
        <w:t xml:space="preserve">~5%</w:t>
      </w:r>
      <w:r>
        <w:t xml:space="preserve">.</w:t>
      </w:r>
    </w:p>
    <w:p>
      <w:pPr>
        <w:pStyle w:val="Compact"/>
        <w:numPr>
          <w:ilvl w:val="0"/>
          <w:numId w:val="1002"/>
        </w:numPr>
      </w:pPr>
      <w:r>
        <w:rPr>
          <w:b/>
          <w:bCs/>
        </w:rPr>
        <w:t xml:space="preserve">Occupancy:</w:t>
      </w:r>
      <w:r>
        <w:t xml:space="preserve"> </w:t>
      </w:r>
      <w:r>
        <w:t xml:space="preserve">96.3–96.5% — very strong; the story now shifts from occupancy gains to pricing.</w:t>
      </w:r>
    </w:p>
    <w:p>
      <w:pPr>
        <w:pStyle w:val="Compact"/>
        <w:numPr>
          <w:ilvl w:val="0"/>
          <w:numId w:val="1002"/>
        </w:numPr>
      </w:pPr>
      <w:r>
        <w:rPr>
          <w:b/>
          <w:bCs/>
        </w:rPr>
        <w:t xml:space="preserve">Turnover:</w:t>
      </w:r>
      <w:r>
        <w:t xml:space="preserve"> </w:t>
      </w:r>
      <w:r>
        <w:t xml:space="preserve">7.8% in Q1, a</w:t>
      </w:r>
      <w:r>
        <w:t xml:space="preserve"> </w:t>
      </w:r>
      <w:r>
        <w:rPr>
          <w:b/>
          <w:bCs/>
        </w:rPr>
        <w:t xml:space="preserve">company record low</w:t>
      </w:r>
      <w:r>
        <w:t xml:space="preserve"> </w:t>
      </w:r>
      <w:r>
        <w:t xml:space="preserve">— a structural tailwind (low move-out costs, high retention) driven by an unaffordable for-sale housing market.</w:t>
      </w:r>
    </w:p>
    <w:p>
      <w:pPr>
        <w:pStyle w:val="Compact"/>
        <w:numPr>
          <w:ilvl w:val="0"/>
          <w:numId w:val="1002"/>
        </w:numPr>
      </w:pPr>
      <w:r>
        <w:rPr>
          <w:b/>
          <w:bCs/>
        </w:rPr>
        <w:t xml:space="preserve">Concessions:</w:t>
      </w:r>
      <w:r>
        <w:t xml:space="preserve"> </w:t>
      </w:r>
      <w:r>
        <w:t xml:space="preserve">down 21% YoY; expected down ~20% for the full year, with the biggest declines back-half loaded as supply drops.</w:t>
      </w:r>
    </w:p>
    <w:bookmarkEnd w:id="12"/>
    <w:bookmarkStart w:id="13" w:name="Xd62e678fc9c32c9a7eb5989fa11381d025527ef"/>
    <w:p>
      <w:pPr>
        <w:pStyle w:val="Heading3"/>
      </w:pPr>
      <w:r>
        <w:t xml:space="preserve">4. Market-by-market — the barbell</w:t>
      </w:r>
    </w:p>
    <w:p>
      <w:pPr>
        <w:pStyle w:val="Compact"/>
        <w:numPr>
          <w:ilvl w:val="0"/>
          <w:numId w:val="1003"/>
        </w:numPr>
      </w:pPr>
      <w:r>
        <w:rPr>
          <w:b/>
          <w:bCs/>
        </w:rPr>
        <w:t xml:space="preserve">Winners (sustain?):</w:t>
      </w:r>
      <w:r>
        <w:t xml:space="preserve"> </w:t>
      </w:r>
      <w:r>
        <w:t xml:space="preserve">San Francisco (best market, "AI boom," concessions near zero downtown, out-of-MSA in-migration) and New York (banks/AI financing, minimal new supply). Together ~30% of NOI and EQR's differentiated urban edge vs. peers.</w:t>
      </w:r>
    </w:p>
    <w:p>
      <w:pPr>
        <w:pStyle w:val="Compact"/>
        <w:numPr>
          <w:ilvl w:val="0"/>
          <w:numId w:val="1003"/>
        </w:numPr>
      </w:pPr>
      <w:r>
        <w:rPr>
          <w:b/>
          <w:bCs/>
        </w:rPr>
        <w:t xml:space="preserve">Recovery candidates:</w:t>
      </w:r>
      <w:r>
        <w:t xml:space="preserve"> </w:t>
      </w:r>
      <w:r>
        <w:t xml:space="preserve">Seattle (Bellevue/Redmond office leasing green shoots; historically lags SF by ~a year) and Boston (slow, weather- and Cambridge life-science-funding-impacted start — watch if it firms).</w:t>
      </w:r>
    </w:p>
    <w:p>
      <w:pPr>
        <w:pStyle w:val="Compact"/>
        <w:numPr>
          <w:ilvl w:val="0"/>
          <w:numId w:val="1003"/>
        </w:numPr>
      </w:pPr>
      <w:r>
        <w:rPr>
          <w:b/>
          <w:bCs/>
        </w:rPr>
        <w:t xml:space="preserve">Modest/muted:</w:t>
      </w:r>
      <w:r>
        <w:t xml:space="preserve"> </w:t>
      </w:r>
      <w:r>
        <w:t xml:space="preserve">Washington D.C. (supply down ~65% but demand held back by government/consumer-confidence uncertainty) and Los Angeles (entertainment overhang, no near-term job catalyst).</w:t>
      </w:r>
    </w:p>
    <w:p>
      <w:pPr>
        <w:pStyle w:val="Compact"/>
        <w:numPr>
          <w:ilvl w:val="0"/>
          <w:numId w:val="1003"/>
        </w:numPr>
      </w:pPr>
      <w:r>
        <w:rPr>
          <w:b/>
          <w:bCs/>
        </w:rPr>
        <w:t xml:space="preserve">Improving off a low base:</w:t>
      </w:r>
      <w:r>
        <w:t xml:space="preserve"> </w:t>
      </w:r>
      <w:r>
        <w:t xml:space="preserve">Atlanta (management flagged possible</w:t>
      </w:r>
      <w:r>
        <w:t xml:space="preserve"> </w:t>
      </w:r>
      <w:r>
        <w:rPr>
          <w:b/>
          <w:bCs/>
        </w:rPr>
        <w:t xml:space="preserve">positive</w:t>
      </w:r>
      <w:r>
        <w:t xml:space="preserve"> </w:t>
      </w:r>
      <w:r>
        <w:t xml:space="preserve">same-store revenue for the year, better than 90 days prior) and Dallas;</w:t>
      </w:r>
      <w:r>
        <w:t xml:space="preserve"> </w:t>
      </w:r>
      <w:r>
        <w:rPr>
          <w:b/>
          <w:bCs/>
        </w:rPr>
        <w:t xml:space="preserve">Austin the clear laggard</w:t>
      </w:r>
      <w:r>
        <w:t xml:space="preserve"> </w:t>
      </w:r>
      <w:r>
        <w:t xml:space="preserve">on lingering supply.</w:t>
      </w:r>
    </w:p>
    <w:bookmarkEnd w:id="13"/>
    <w:bookmarkStart w:id="14" w:name="Xdf8124cd089a25ca5aa460c7178354a0b583919"/>
    <w:p>
      <w:pPr>
        <w:pStyle w:val="Heading3"/>
      </w:pPr>
      <w:r>
        <w:t xml:space="preserve">5. Expenses</w:t>
      </w:r>
    </w:p>
    <w:p>
      <w:pPr>
        <w:pStyle w:val="FirstParagraph"/>
      </w:pPr>
      <w:r>
        <w:t xml:space="preserve">Q1 same-store expenses were</w:t>
      </w:r>
      <w:r>
        <w:t xml:space="preserve"> </w:t>
      </w:r>
      <w:r>
        <w:rPr>
          <w:b/>
          <w:bCs/>
        </w:rPr>
        <w:t xml:space="preserve">+3.7%</w:t>
      </w:r>
      <w:r>
        <w:t xml:space="preserve"> </w:t>
      </w:r>
      <w:r>
        <w:t xml:space="preserve">(full-year guide 3.0%–4.0%). Puts and takes to watch:</w:t>
      </w:r>
    </w:p>
    <w:p>
      <w:pPr>
        <w:pStyle w:val="Compact"/>
        <w:numPr>
          <w:ilvl w:val="0"/>
          <w:numId w:val="1004"/>
        </w:numPr>
      </w:pPr>
      <w:r>
        <w:rPr>
          <w:b/>
          <w:bCs/>
        </w:rPr>
        <w:t xml:space="preserve">Payroll:</w:t>
      </w:r>
      <w:r>
        <w:t xml:space="preserve"> </w:t>
      </w:r>
      <w:r>
        <w:t xml:space="preserve">exceptional</w:t>
      </w:r>
      <w:r>
        <w:t xml:space="preserve"> </w:t>
      </w:r>
      <w:r>
        <w:rPr>
          <w:b/>
          <w:bCs/>
        </w:rPr>
        <w:t xml:space="preserve">+0.2%</w:t>
      </w:r>
      <w:r>
        <w:t xml:space="preserve"> </w:t>
      </w:r>
      <w:r>
        <w:t xml:space="preserve">in Q1 thanks to automation/centralization — a key EQR efficiency story.</w:t>
      </w:r>
    </w:p>
    <w:p>
      <w:pPr>
        <w:pStyle w:val="Compact"/>
        <w:numPr>
          <w:ilvl w:val="0"/>
          <w:numId w:val="1004"/>
        </w:numPr>
      </w:pPr>
      <w:r>
        <w:rPr>
          <w:b/>
          <w:bCs/>
        </w:rPr>
        <w:t xml:space="preserve">Utilities (+6.7% Q1)</w:t>
      </w:r>
      <w:r>
        <w:t xml:space="preserve"> </w:t>
      </w:r>
      <w:r>
        <w:t xml:space="preserve">and</w:t>
      </w:r>
      <w:r>
        <w:t xml:space="preserve"> </w:t>
      </w:r>
      <w:r>
        <w:rPr>
          <w:b/>
          <w:bCs/>
        </w:rPr>
        <w:t xml:space="preserve">insurance</w:t>
      </w:r>
      <w:r>
        <w:t xml:space="preserve"> </w:t>
      </w:r>
      <w:r>
        <w:t xml:space="preserve">are the pressure points; property premiums came down (they bought more coverage) but general-liability rose. Watch utility commodity costs given energy volatility.</w:t>
      </w:r>
    </w:p>
    <w:p>
      <w:pPr>
        <w:pStyle w:val="Compact"/>
        <w:numPr>
          <w:ilvl w:val="0"/>
          <w:numId w:val="1004"/>
        </w:numPr>
      </w:pPr>
      <w:r>
        <w:rPr>
          <w:b/>
          <w:bCs/>
        </w:rPr>
        <w:t xml:space="preserve">Real estate taxes (~40% of opex)</w:t>
      </w:r>
      <w:r>
        <w:t xml:space="preserve"> </w:t>
      </w:r>
      <w:r>
        <w:t xml:space="preserve">up ~2.9%.</w:t>
      </w:r>
    </w:p>
    <w:bookmarkEnd w:id="14"/>
    <w:bookmarkStart w:id="15" w:name="X5be186d7f007a327c956d04fdd284e0864f7b3f"/>
    <w:p>
      <w:pPr>
        <w:pStyle w:val="Heading3"/>
      </w:pPr>
      <w:r>
        <w:t xml:space="preserve">6. Capital allocation &amp; balance sheet</w:t>
      </w:r>
    </w:p>
    <w:p>
      <w:pPr>
        <w:pStyle w:val="Compact"/>
        <w:numPr>
          <w:ilvl w:val="0"/>
          <w:numId w:val="1005"/>
        </w:numPr>
      </w:pPr>
      <w:r>
        <w:rPr>
          <w:b/>
          <w:bCs/>
        </w:rPr>
        <w:t xml:space="preserve">Buybacks:</w:t>
      </w:r>
      <w:r>
        <w:t xml:space="preserve"> </w:t>
      </w:r>
      <w:r>
        <w:t xml:space="preserve">repurchased</w:t>
      </w:r>
      <w:r>
        <w:t xml:space="preserve"> </w:t>
      </w:r>
      <m:oMath>
        <m:r>
          <m:t>220</m:t>
        </m:r>
        <m:r>
          <m:t>M</m:t>
        </m:r>
        <m:r>
          <m:t>i</m:t>
        </m:r>
        <m:r>
          <m:t>n</m:t>
        </m:r>
        <m:r>
          <m:t>Q</m:t>
        </m:r>
        <m:r>
          <m:t>1</m:t>
        </m:r>
        <m:r>
          <m:rPr>
            <m:sty m:val="p"/>
          </m:rPr>
          <m:t>*</m:t>
        </m:r>
        <m:r>
          <m:rPr>
            <m:sty m:val="p"/>
          </m:rPr>
          <m:t>*</m:t>
        </m:r>
        <m:r>
          <m:t>a</m:t>
        </m:r>
        <m:r>
          <m:t>t</m:t>
        </m:r>
        <m:r>
          <m:rPr>
            <m:sty m:val="p"/>
          </m:rPr>
          <m:t>*</m:t>
        </m:r>
        <m:r>
          <m:rPr>
            <m:sty m:val="p"/>
          </m:rPr>
          <m:t>*</m:t>
        </m:r>
      </m:oMath>
      <w:r>
        <w:rPr>
          <w:b/>
          <w:bCs/>
        </w:rPr>
        <w:t xml:space="preserve">63.42/share</w:t>
      </w:r>
      <w:r>
        <w:t xml:space="preserve"> </w:t>
      </w:r>
      <w:r>
        <w:t xml:space="preserve">(</w:t>
      </w:r>
      <m:oMath>
        <m:r>
          <m:t>500</m:t>
        </m:r>
        <m:r>
          <m:t>M</m:t>
        </m:r>
        <m:r>
          <m:t>s</m:t>
        </m:r>
        <m:r>
          <m:t>i</m:t>
        </m:r>
        <m:r>
          <m:t>n</m:t>
        </m:r>
        <m:r>
          <m:t>c</m:t>
        </m:r>
        <m:r>
          <m:t>e</m:t>
        </m:r>
        <m:r>
          <m:t>A</m:t>
        </m:r>
        <m:r>
          <m:t>u</m:t>
        </m:r>
        <m:r>
          <m:t>g</m:t>
        </m:r>
        <m:r>
          <m:t>2025</m:t>
        </m:r>
        <m:r>
          <m:rPr>
            <m:sty m:val="p"/>
          </m:rPr>
          <m:t>)</m:t>
        </m:r>
        <m:r>
          <m:rPr>
            <m:sty m:val="p"/>
          </m:rPr>
          <m:t>.</m:t>
        </m:r>
        <m:r>
          <m:t>N</m:t>
        </m:r>
        <m:r>
          <m:t>o</m:t>
        </m:r>
        <m:r>
          <m:t>t</m:t>
        </m:r>
        <m:r>
          <m:t>e</m:t>
        </m:r>
        <m:r>
          <m:t>t</m:t>
        </m:r>
        <m:r>
          <m:t>h</m:t>
        </m:r>
        <m:r>
          <m:t>e</m:t>
        </m:r>
        <m:r>
          <m:t>s</m:t>
        </m:r>
        <m:r>
          <m:t>t</m:t>
        </m:r>
        <m:r>
          <m:t>o</m:t>
        </m:r>
        <m:r>
          <m:t>c</m:t>
        </m:r>
        <m:r>
          <m:t>k</m:t>
        </m:r>
        <m:r>
          <m:t>n</m:t>
        </m:r>
        <m:r>
          <m:t>o</m:t>
        </m:r>
        <m:r>
          <m:t>w</m:t>
        </m:r>
        <m:r>
          <m:t>t</m:t>
        </m:r>
        <m:r>
          <m:t>r</m:t>
        </m:r>
        <m:r>
          <m:t>a</m:t>
        </m:r>
        <m:r>
          <m:t>d</m:t>
        </m:r>
        <m:r>
          <m:t>e</m:t>
        </m:r>
        <m:r>
          <m:t>s</m:t>
        </m:r>
        <m:r>
          <m:rPr>
            <m:sty m:val="p"/>
          </m:rPr>
          <m:t>*</m:t>
        </m:r>
        <m:r>
          <m:rPr>
            <m:sty m:val="p"/>
          </m:rPr>
          <m:t>*</m:t>
        </m:r>
        <m:r>
          <m:t> </m:t>
        </m:r>
      </m:oMath>
      <w:r>
        <w:t xml:space="preserve">68** — above their buyback basis — so watch whether repurchase pace slows and how they frame stock vs. development vs. acquisitions. Management said the stock is often "the most compelling choice," with development (two new Atlanta starts, Canton &amp; Alpharetta) as the next-best use.</w:t>
      </w:r>
    </w:p>
    <w:p>
      <w:pPr>
        <w:pStyle w:val="Compact"/>
        <w:numPr>
          <w:ilvl w:val="0"/>
          <w:numId w:val="1005"/>
        </w:numPr>
      </w:pPr>
      <w:r>
        <w:rPr>
          <w:b/>
          <w:bCs/>
        </w:rPr>
        <w:t xml:space="preserve">Dispositions:</w:t>
      </w:r>
      <w:r>
        <w:t xml:space="preserve"> </w:t>
      </w:r>
      <w:r>
        <w:t xml:space="preserve">introduced</w:t>
      </w:r>
      <w:r>
        <w:t xml:space="preserve"> </w:t>
      </w:r>
      <w:r>
        <w:rPr>
          <w:b/>
          <w:bCs/>
        </w:rPr>
        <w:t xml:space="preserve">$165M</w:t>
      </w:r>
      <w:r>
        <w:t xml:space="preserve"> </w:t>
      </w:r>
      <w:r>
        <w:t xml:space="preserve">of disposition guidance in Q1 (older, capital-intensive or concentrated assets). Watch for execution and any increase — private-market bidding remains "robust," and management wants to trim California (esp. LA) and downtown Seattle over time.</w:t>
      </w:r>
    </w:p>
    <w:p>
      <w:pPr>
        <w:pStyle w:val="Compact"/>
        <w:numPr>
          <w:ilvl w:val="0"/>
          <w:numId w:val="1005"/>
        </w:numPr>
      </w:pPr>
      <w:r>
        <w:rPr>
          <w:b/>
          <w:bCs/>
        </w:rPr>
        <w:t xml:space="preserve">Balance sheet:</w:t>
      </w:r>
      <w:r>
        <w:t xml:space="preserve"> </w:t>
      </w:r>
      <w:r>
        <w:t xml:space="preserve">net debt/EBITDA</w:t>
      </w:r>
      <w:r>
        <w:t xml:space="preserve"> </w:t>
      </w:r>
      <w:r>
        <w:rPr>
          <w:b/>
          <w:bCs/>
        </w:rPr>
        <w:t xml:space="preserve">4.35x</w:t>
      </w:r>
      <w:r>
        <w:t xml:space="preserve"> </w:t>
      </w:r>
      <w:r>
        <w:t xml:space="preserve">— underlevered, giving optionality. Dividend raised</w:t>
      </w:r>
      <w:r>
        <w:t xml:space="preserve"> </w:t>
      </w:r>
      <w:r>
        <w:rPr>
          <w:b/>
          <w:bCs/>
        </w:rPr>
        <w:t xml:space="preserve">1.4% to $2.81</w:t>
      </w:r>
      <w:r>
        <w:t xml:space="preserve"> </w:t>
      </w:r>
      <w:r>
        <w:t xml:space="preserve">annualized.</w:t>
      </w:r>
    </w:p>
    <w:bookmarkEnd w:id="15"/>
    <w:bookmarkStart w:id="16" w:name="Xf0fc6a5d28e7bd4d8313c5a2cff450932956248"/>
    <w:p>
      <w:pPr>
        <w:pStyle w:val="Heading3"/>
      </w:pPr>
      <w:r>
        <w:t xml:space="preserve">7. Regulatory / macro overhangs</w:t>
      </w:r>
    </w:p>
    <w:p>
      <w:pPr>
        <w:pStyle w:val="Compact"/>
        <w:numPr>
          <w:ilvl w:val="0"/>
          <w:numId w:val="1006"/>
        </w:numPr>
      </w:pPr>
      <w:r>
        <w:rPr>
          <w:b/>
          <w:bCs/>
        </w:rPr>
        <w:t xml:space="preserve">Massachusetts rent-control ballot measure</w:t>
      </w:r>
      <w:r>
        <w:t xml:space="preserve"> </w:t>
      </w:r>
      <w:r>
        <w:t xml:space="preserve">is the "main show this year" — EQR paused two MA development deals over it.</w:t>
      </w:r>
    </w:p>
    <w:p>
      <w:pPr>
        <w:pStyle w:val="Compact"/>
        <w:numPr>
          <w:ilvl w:val="0"/>
          <w:numId w:val="1006"/>
        </w:numPr>
      </w:pPr>
      <w:r>
        <w:rPr>
          <w:b/>
          <w:bCs/>
        </w:rPr>
        <w:t xml:space="preserve">D.C. proposed 2-year rent freeze</w:t>
      </w:r>
      <w:r>
        <w:t xml:space="preserve"> </w:t>
      </w:r>
      <w:r>
        <w:t xml:space="preserve">(less impactful since much of the D.C. book is already rent-controlled).</w:t>
      </w:r>
    </w:p>
    <w:p>
      <w:pPr>
        <w:pStyle w:val="Compact"/>
        <w:numPr>
          <w:ilvl w:val="0"/>
          <w:numId w:val="1006"/>
        </w:numPr>
      </w:pPr>
      <w:r>
        <w:t xml:space="preserve">Broader sector note: reports indicate rental owners are</w:t>
      </w:r>
      <w:r>
        <w:t xml:space="preserve"> </w:t>
      </w:r>
      <w:r>
        <w:rPr>
          <w:b/>
          <w:bCs/>
        </w:rPr>
        <w:t xml:space="preserve">selling more property following new housing legislation</w:t>
      </w:r>
      <w:r>
        <w:t xml:space="preserve"> </w:t>
      </w:r>
      <w:r>
        <w:t xml:space="preserve">— relevant to transaction-market and disposition dynamics.</w:t>
      </w:r>
    </w:p>
    <w:p>
      <w:r>
        <w:pict>
          <v:rect style="width:0;height:1.5pt" o:hralign="center" o:hrstd="t" o:hr="t"/>
        </w:pict>
      </w:r>
    </w:p>
    <w:bookmarkEnd w:id="16"/>
    <w:bookmarkEnd w:id="17"/>
    <w:bookmarkStart w:id="18" w:name="positioning--sentiment"/>
    <w:p>
      <w:pPr>
        <w:pStyle w:val="Heading2"/>
      </w:pPr>
      <w:r>
        <w:t xml:space="preserve">Positioning &amp; sentiment</w:t>
      </w:r>
    </w:p>
    <w:p>
      <w:pPr>
        <w:pStyle w:val="Compact"/>
        <w:numPr>
          <w:ilvl w:val="0"/>
          <w:numId w:val="1007"/>
        </w:numPr>
      </w:pPr>
      <w:r>
        <w:rPr>
          <w:b/>
          <w:bCs/>
        </w:rPr>
        <w:t xml:space="preserve">Stock:</w:t>
      </w:r>
      <w:r>
        <w:t xml:space="preserve"> </w:t>
      </w:r>
      <w:r>
        <w:t xml:space="preserve">~</w:t>
      </w:r>
      <m:oMath>
        <m:r>
          <m:t>68.31</m:t>
        </m:r>
        <m:r>
          <m:t>a</m:t>
        </m:r>
        <m:r>
          <m:t>s</m:t>
        </m:r>
        <m:r>
          <m:t>o</m:t>
        </m:r>
        <m:r>
          <m:t>f</m:t>
        </m:r>
        <m:r>
          <m:t>7</m:t>
        </m:r>
        <m:r>
          <m:rPr>
            <m:sty m:val="p"/>
          </m:rPr>
          <m:t>/</m:t>
        </m:r>
        <m:r>
          <m:t>21</m:t>
        </m:r>
        <m:r>
          <m:rPr>
            <m:sty m:val="p"/>
          </m:rPr>
          <m:t>,</m:t>
        </m:r>
        <m:r>
          <m:t>u</m:t>
        </m:r>
        <m:r>
          <m:t>p</m:t>
        </m:r>
        <m:r>
          <m:rPr>
            <m:sty m:val="p"/>
          </m:rPr>
          <m:t>*</m:t>
        </m:r>
        <m:r>
          <m:rPr>
            <m:sty m:val="p"/>
          </m:rPr>
          <m:t>*</m:t>
        </m:r>
        <m:r>
          <m:t> </m:t>
        </m:r>
        <m:r>
          <m:t>10</m:t>
        </m:r>
      </m:oMath>
      <w:r>
        <w:t xml:space="preserve">62). Shares recovered sharply off a March low near</w:t>
      </w:r>
      <w:r>
        <w:t xml:space="preserve"> </w:t>
      </w:r>
      <m:oMath>
        <m:r>
          <m:t>58</m:t>
        </m:r>
        <m:r>
          <m:t>a</m:t>
        </m:r>
        <m:r>
          <m:t>n</m:t>
        </m:r>
        <m:r>
          <m:t>d</m:t>
        </m:r>
        <m:r>
          <m:rPr>
            <m:sty m:val="p"/>
          </m:rPr>
          <m:t>*</m:t>
        </m:r>
        <m:r>
          <m:rPr>
            <m:sty m:val="p"/>
          </m:rPr>
          <m:t>*</m:t>
        </m:r>
        <m:r>
          <m:t>j</m:t>
        </m:r>
        <m:r>
          <m:t>u</m:t>
        </m:r>
        <m:r>
          <m:t>m</m:t>
        </m:r>
        <m:r>
          <m:t>p</m:t>
        </m:r>
        <m:r>
          <m:t>e</m:t>
        </m:r>
        <m:r>
          <m:t>d</m:t>
        </m:r>
        <m:r>
          <m:t> </m:t>
        </m:r>
        <m:r>
          <m:t>4.5</m:t>
        </m:r>
      </m:oMath>
      <w:r>
        <w:t xml:space="preserve">70).</w:t>
      </w:r>
    </w:p>
    <w:p>
      <w:pPr>
        <w:pStyle w:val="Compact"/>
        <w:numPr>
          <w:ilvl w:val="0"/>
          <w:numId w:val="1007"/>
        </w:numPr>
      </w:pPr>
      <w:r>
        <w:rPr>
          <w:b/>
          <w:bCs/>
        </w:rPr>
        <w:t xml:space="preserve">Relative:</w:t>
      </w:r>
      <w:r>
        <w:t xml:space="preserve"> </w:t>
      </w:r>
      <w:r>
        <w:t xml:space="preserve">In line with coastal peers AVB (~+6% YTD) and UDR, but trailing</w:t>
      </w:r>
      <w:r>
        <w:t xml:space="preserve"> </w:t>
      </w:r>
      <w:r>
        <w:rPr>
          <w:b/>
          <w:bCs/>
        </w:rPr>
        <w:t xml:space="preserve">Essex (ESS, ~+14% YTD)</w:t>
      </w:r>
      <w:r>
        <w:t xml:space="preserve">, which is more concentrated in the West Coast/AI-adjacent markets driving the theme.</w:t>
      </w:r>
    </w:p>
    <w:p>
      <w:pPr>
        <w:pStyle w:val="Compact"/>
        <w:numPr>
          <w:ilvl w:val="0"/>
          <w:numId w:val="1007"/>
        </w:numPr>
      </w:pPr>
      <w:r>
        <w:t xml:space="preserve">With the stock near cycle highs and above management's own buyback basis,</w:t>
      </w:r>
      <w:r>
        <w:t xml:space="preserve"> </w:t>
      </w:r>
      <w:r>
        <w:rPr>
          <w:b/>
          <w:bCs/>
        </w:rPr>
        <w:t xml:space="preserve">expectations are elevated</w:t>
      </w:r>
      <w:r>
        <w:t xml:space="preserve"> </w:t>
      </w:r>
      <w:r>
        <w:t xml:space="preserve">— a reiterated (not raised) guide, or any sign SF/NY momentum is peaking (as it did unexpectedly in mid-2025), would be the key downside risk.</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Tomorrow is less about the headline NFFO (likely landing near the</w:t>
      </w:r>
      <w:r>
        <w:t xml:space="preserve"> </w:t>
      </w:r>
      <w:r>
        <w:rPr>
          <w:b/>
          <w:bCs/>
        </w:rPr>
        <w:t xml:space="preserve">$1.00</w:t>
      </w:r>
      <w:r>
        <w:t xml:space="preserve"> </w:t>
      </w:r>
      <w:r>
        <w:t xml:space="preserve">midpoint) and more about</w:t>
      </w:r>
      <w:r>
        <w:t xml:space="preserve"> </w:t>
      </w:r>
      <w:r>
        <w:rPr>
          <w:b/>
          <w:bCs/>
        </w:rPr>
        <w:t xml:space="preserve">two questions</w:t>
      </w:r>
      <w:r>
        <w:t xml:space="preserve">: (1) does the</w:t>
      </w:r>
      <w:r>
        <w:t xml:space="preserve"> </w:t>
      </w:r>
      <w:r>
        <w:rPr>
          <w:b/>
          <w:bCs/>
        </w:rPr>
        <w:t xml:space="preserve">full-year guide move higher</w:t>
      </w:r>
      <w:r>
        <w:t xml:space="preserve">, and (2) is</w:t>
      </w:r>
      <w:r>
        <w:t xml:space="preserve"> </w:t>
      </w:r>
      <w:r>
        <w:rPr>
          <w:b/>
          <w:bCs/>
        </w:rPr>
        <w:t xml:space="preserve">new lease change inflecting toward flat/positive</w:t>
      </w:r>
      <w:r>
        <w:t xml:space="preserve"> </w:t>
      </w:r>
      <w:r>
        <w:t xml:space="preserve">during peak season as SF/NY hold and Seattle/Sunbelt begin to recover? A guidance raise plus continued concession burn-off would validate the "supply cliff into 2027" bull case; a hold-the-line quarter against a richer valuation is the risk. Also watch capital-allocation signals — with the stock above its buyback basis, management's tone on dispositions vs. repurchases vs. development will matter.</w:t>
      </w:r>
    </w:p>
    <w:p>
      <w:pPr>
        <w:pStyle w:val="BodyText"/>
      </w:pPr>
      <w:r>
        <w:rPr>
          <w:i/>
          <w:iCs/>
        </w:rPr>
        <w:t xml:space="preserve">Note: figures above are drawn from EQR's Q1 2026 earnings release and conference call and market pricing through July 21, 2026. This is an informational preview,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2026-07-22T00:53:27Z</dcterms:created>
  <dcterms:modified xsi:type="dcterms:W3CDTF">2026-07-22T00:53:27Z</dcterms:modified>
</cp:coreProperties>
</file>

<file path=docProps/custom.xml><?xml version="1.0" encoding="utf-8"?>
<Properties xmlns="http://schemas.openxmlformats.org/officeDocument/2006/custom-properties" xmlns:vt="http://schemas.openxmlformats.org/officeDocument/2006/docPropsVTypes"/>
</file>