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r-earnings-predictions--2026-07-22"/>
    <w:p>
      <w:pPr>
        <w:pStyle w:val="Heading1"/>
      </w:pPr>
      <w:r>
        <w:t xml:space="preserve">EQR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Normalized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Same-Store Revenue Growth (y/y)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~2.5% vs. cons 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Same-Store NOI Growth (y/y)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~1.3% vs. cons 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Normalized FFO/share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4.02</m:t>
              </m:r>
              <m:r>
                <m:rPr>
                  <m:sty m:val="p"/>
                </m:rPr>
                <m:t>−</m:t>
              </m:r>
            </m:oMath>
            <w:r>
              <w:t xml:space="preserve">4.14 (mid $4.08) vs. cons $4.09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Normalized FFO/share guidance (newly issued)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1.01</m:t>
              </m:r>
              <m:r>
                <m:rPr>
                  <m:sty m:val="p"/>
                </m:rPr>
                <m:t>−</m:t>
              </m:r>
            </m:oMath>
            <w:r>
              <w:t xml:space="preserve">1.05 (mid $1.03) vs. cons $1.03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~1.2%-3.2% (mid 2.2%) vs. cons 2.3%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Expense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~3.0%-4.0% (mid 3.5%) vs. cons 3.4%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 net run-rate synergy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~$125M net synergies vs. cons $125M (by end-2027)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-0.2% (STABILIZE)</w:t>
            </w:r>
          </w:p>
        </w:tc>
        <w:tc>
          <w:tcPr/>
          <w:p>
            <w:pPr>
              <w:pStyle w:val="Compact"/>
            </w:pPr>
            <w:r>
              <w:t xml:space="preserve">With no earnings call and FY2026 guidance likely reaffirmed rather than raised/cut, there's limited fresh information to drive a sustained revisions cycle; soft same-store NOI growth (expense growth still outpacing revenue) is a modest offset to an FFO beat aided by buybacks, netting to a small initial move. More importantly, EQR's trading is now dominated by merger-arb dynamics tied to the AVB exchange ratio (2.793x) and the Aug 12 shareholder votes, so any earnings-driven price reaction tends to mean-revert within days as focus shifts back to deal-spread trading rather than compounding into a trend.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2026-07-22T00:58:00Z</dcterms:created>
  <dcterms:modified xsi:type="dcterms:W3CDTF">2026-07-22T00:58:00Z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