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Now I have a comprehensive picture. Let me check for the most recent merger-related news (shareholder vote timing) closer to July 2026, and confirm Q2 guidance context for AVB too, since this is a merger of equals and investors will care about both.I now have all the necessary information to write a comprehensive earnings preview. Let me put it together.# Equity Residential (EQR) — Q2 2026 Earnings Preview</w:t>
      </w:r>
      <w:r>
        <w:t xml:space="preserve"> </w:t>
      </w:r>
      <w:r>
        <w:rPr>
          <w:b/>
          <w:bCs/>
        </w:rPr>
        <w:t xml:space="preserve">Reports: Wednesday, July 22, 2026, after market close</w:t>
      </w:r>
      <w:r>
        <w:t xml:space="preserve"> </w:t>
      </w:r>
      <w:r>
        <w:t xml:space="preserve">| No conference call this quarter (investor presentation only)</w:t>
      </w:r>
    </w:p>
    <w:p>
      <w:r>
        <w:pict>
          <v:rect style="width:0;height:1.5pt" o:hralign="center" o:hrstd="t" o:hr="t"/>
        </w:pict>
      </w:r>
    </w:p>
    <w:bookmarkStart w:id="9" w:name="X27e1bc77125b20eb6317b5af721ecf114ef0029"/>
    <w:p>
      <w:pPr>
        <w:pStyle w:val="Heading2"/>
      </w:pPr>
      <w:r>
        <w:t xml:space="preserve">1. The Big Picture: This Is Not a Normal Quarter</w:t>
      </w:r>
    </w:p>
    <w:p>
      <w:pPr>
        <w:pStyle w:val="FirstParagraph"/>
      </w:pPr>
      <w:r>
        <w:t xml:space="preserve">The most important context for this print has nothing to do with rent growth — it's the pending</w:t>
      </w:r>
      <w:r>
        <w:t xml:space="preserve"> </w:t>
      </w:r>
      <w:r>
        <w:rPr>
          <w:b/>
          <w:bCs/>
        </w:rPr>
        <w:t xml:space="preserve">all-stock merger of equals with AvalonBay Communities (AVB)</w:t>
      </w:r>
      <w:r>
        <w:t xml:space="preserve">, announced May 21, 2026. Key deal terms: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Exchange ratio:</w:t>
      </w:r>
      <w:r>
        <w:t xml:space="preserve"> </w:t>
      </w:r>
      <w:r>
        <w:t xml:space="preserve">AvalonBay stockholders receive</w:t>
      </w:r>
      <w:r>
        <w:t xml:space="preserve"> </w:t>
      </w:r>
      <w:r>
        <w:rPr>
          <w:b/>
          <w:bCs/>
        </w:rPr>
        <w:t xml:space="preserve">2.793 EQR shares</w:t>
      </w:r>
      <w:r>
        <w:t xml:space="preserve"> </w:t>
      </w:r>
      <w:r>
        <w:t xml:space="preserve">for each AVB share, in a stock-for-stock deal AvalonBay stockholders will receive an exchange ratio of 2.793 Equity Residential shares per AvalonBay share.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Scale:</w:t>
      </w:r>
      <w:r>
        <w:t xml:space="preserve"> </w:t>
      </w:r>
      <w:r>
        <w:t xml:space="preserve">The combined company would be the preeminent multifamily real estate company with a pro forma equity market capitalization of approximately $52 billion and an enterprise value of approximately $69 billion, with more than 180,000 rental apartments.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Synergies:</w:t>
      </w:r>
      <w:r>
        <w:t xml:space="preserve"> </w:t>
      </w:r>
      <w:r>
        <w:t xml:space="preserve">The deal is projected to deliver $175 million of gross synergies and $125 million of net run-rate synergies, with $125 million of run-rate operating synergies targeted within 18 months and a majority by the end of 2027.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Governance/structure:</w:t>
      </w:r>
      <w:r>
        <w:t xml:space="preserve"> </w:t>
      </w:r>
      <w:r>
        <w:t xml:space="preserve">The combined firm will have dual headquarters in Arlington, VA and Chicago, IL and will operate under a new name to be announced at closing, with a 14-member board split evenly between the two companies. EQR CEO</w:t>
      </w:r>
      <w:r>
        <w:t xml:space="preserve"> </w:t>
      </w:r>
      <w:r>
        <w:rPr>
          <w:b/>
          <w:bCs/>
        </w:rPr>
        <w:t xml:space="preserve">Mark Parrell will retire at closing</w:t>
      </w:r>
      <w:r>
        <w:t xml:space="preserve">, having built the company over 27 years, with a leadership team drawn from both organizations.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Timeline:</w:t>
      </w:r>
      <w:r>
        <w:t xml:space="preserve"> </w:t>
      </w:r>
      <w:r>
        <w:t xml:space="preserve">Both companies'</w:t>
      </w:r>
      <w:r>
        <w:t xml:space="preserve"> </w:t>
      </w:r>
      <w:r>
        <w:rPr>
          <w:b/>
          <w:bCs/>
        </w:rPr>
        <w:t xml:space="preserve">shareholder votes are scheduled for August 12, 2026</w:t>
      </w:r>
      <w:r>
        <w:t xml:space="preserve">, with closing still targeted for the</w:t>
      </w:r>
      <w:r>
        <w:t xml:space="preserve"> </w:t>
      </w:r>
      <w:r>
        <w:rPr>
          <w:b/>
          <w:bCs/>
        </w:rPr>
        <w:t xml:space="preserve">second half of 2026</w:t>
      </w:r>
      <w:r>
        <w:t xml:space="preserve">.</w:t>
      </w:r>
    </w:p>
    <w:p>
      <w:pPr>
        <w:pStyle w:val="FirstParagraph"/>
      </w:pPr>
      <w:r>
        <w:rPr>
          <w:b/>
          <w:bCs/>
        </w:rPr>
        <w:t xml:space="preserve">Practical implication for tomorrow's print:</w:t>
      </w:r>
      <w:r>
        <w:t xml:space="preserve"> </w:t>
      </w:r>
      <w:r>
        <w:t xml:space="preserve">Because of the pending deal, EQR</w:t>
      </w:r>
      <w:r>
        <w:t xml:space="preserve"> </w:t>
      </w:r>
      <w:r>
        <w:rPr>
          <w:b/>
          <w:bCs/>
        </w:rPr>
        <w:t xml:space="preserve">will not hold an earnings call</w:t>
      </w:r>
      <w:r>
        <w:t xml:space="preserve"> </w:t>
      </w:r>
      <w:r>
        <w:t xml:space="preserve">and will instead post an investor presentation alongside the release. Expect commentary to be relatively "clean" — operational metrics and guidance rather than deal-related color, since that's being handled through the joint S-4/proxy process. Investors should watch AVB's own Q2 print and any proxy-related commentary (e.g., relative performance since announcement, updated synergy assumptions) as much as EQR's numbers, since AVB shareholders effectively become the reference point for value-sharing in this deal. The stock had been trending toward AVB's implied value in recent sessions (S-4/A disclosed an</w:t>
      </w:r>
      <w:r>
        <w:t xml:space="preserve"> </w:t>
      </w:r>
      <w:r>
        <w:rPr>
          <w:b/>
          <w:bCs/>
        </w:rPr>
        <w:t xml:space="preserve">implied value of $190.79</w:t>
      </w:r>
      <w:r>
        <w:t xml:space="preserve"> </w:t>
      </w:r>
      <w:r>
        <w:t xml:space="preserve">for AVB shares as of July 8, 2026 based on EQR's price and the 2.793 ratio) — meaning relative share-price performance between the two names is now a key signal of deal-arb sentiment.</w:t>
      </w:r>
    </w:p>
    <w:p>
      <w:r>
        <w:pict>
          <v:rect style="width:0;height:1.5pt" o:hralign="center" o:hrstd="t" o:hr="t"/>
        </w:pict>
      </w:r>
    </w:p>
    <w:bookmarkEnd w:id="9"/>
    <w:bookmarkStart w:id="10" w:name="Xb0bfc517ad0b1340e14b56fd2a832bbe24196f0"/>
    <w:p>
      <w:pPr>
        <w:pStyle w:val="Heading2"/>
      </w:pPr>
      <w:r>
        <w:t xml:space="preserve">2. What Happened Last Quarter (Q1 2026) — The Baseline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Normalized FFO of $0.99/share</w:t>
      </w:r>
      <w:r>
        <w:t xml:space="preserve">, up 4.2% y/y and a beat on consensus (~4.5% surprise), while</w:t>
      </w:r>
      <w:r>
        <w:t xml:space="preserve"> </w:t>
      </w:r>
      <w:r>
        <w:rPr>
          <w:b/>
          <w:bCs/>
        </w:rPr>
        <w:t xml:space="preserve">GAAP EPS fell to $0.24</w:t>
      </w:r>
      <w:r>
        <w:t xml:space="preserve"> </w:t>
      </w:r>
      <w:r>
        <w:t xml:space="preserve">(from $0.67) on lower gains on property sales.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Same-store revenue +2.2%</w:t>
      </w:r>
      <w:r>
        <w:t xml:space="preserve">,</w:t>
      </w:r>
      <w:r>
        <w:t xml:space="preserve"> </w:t>
      </w:r>
      <w:r>
        <w:rPr>
          <w:b/>
          <w:bCs/>
        </w:rPr>
        <w:t xml:space="preserve">expenses +3.7%</w:t>
      </w:r>
      <w:r>
        <w:t xml:space="preserve">,</w:t>
      </w:r>
      <w:r>
        <w:t xml:space="preserve"> </w:t>
      </w:r>
      <w:r>
        <w:rPr>
          <w:b/>
          <w:bCs/>
        </w:rPr>
        <w:t xml:space="preserve">NOI +1.4% y/y</w:t>
      </w:r>
      <w:r>
        <w:t xml:space="preserve"> </w:t>
      </w:r>
      <w:r>
        <w:t xml:space="preserve">— expense growth (utilities, real estate taxes, insurance) continues to outpace revenue growth, compressing NOI margins.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Physical occupancy 96.5%</w:t>
      </w:r>
      <w:r>
        <w:t xml:space="preserve">, and</w:t>
      </w:r>
      <w:r>
        <w:t xml:space="preserve"> </w:t>
      </w:r>
      <w:r>
        <w:rPr>
          <w:b/>
          <w:bCs/>
        </w:rPr>
        <w:t xml:space="preserve">resident turnover hit a record low of 7.8%</w:t>
      </w:r>
      <w:r>
        <w:t xml:space="preserve"> </w:t>
      </w:r>
      <w:r>
        <w:t xml:space="preserve">— renters are staying put amid a soft single-family-for-sale market.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Blended rate growth of 1.5%</w:t>
      </w:r>
      <w:r>
        <w:t xml:space="preserve">, a</w:t>
      </w:r>
      <w:r>
        <w:t xml:space="preserve"> </w:t>
      </w:r>
      <w:r>
        <w:rPr>
          <w:b/>
          <w:bCs/>
        </w:rPr>
        <w:t xml:space="preserve">130 bps sequential improvement</w:t>
      </w:r>
      <w:r>
        <w:t xml:space="preserve"> </w:t>
      </w:r>
      <w:r>
        <w:t xml:space="preserve">from Q4 2025, driven by New York and San Francisco.</w:t>
      </w:r>
    </w:p>
    <w:p>
      <w:pPr>
        <w:pStyle w:val="Compact"/>
        <w:numPr>
          <w:ilvl w:val="0"/>
          <w:numId w:val="1002"/>
        </w:numPr>
      </w:pPr>
      <w:r>
        <w:t xml:space="preserve">Capital returns:</w:t>
      </w:r>
      <w:r>
        <w:t xml:space="preserve"> </w:t>
      </w:r>
      <w:r>
        <w:rPr>
          <w:b/>
          <w:bCs/>
        </w:rPr>
        <w:t xml:space="preserve">$219.4 million of buybacks</w:t>
      </w:r>
      <w:r>
        <w:t xml:space="preserve"> </w:t>
      </w:r>
      <w:r>
        <w:t xml:space="preserve">in Q1 (3.5M shares at</w:t>
      </w:r>
      <w:r>
        <w:t xml:space="preserve"> </w:t>
      </w:r>
      <m:oMath>
        <m:r>
          <m:t>63.42</m:t>
        </m:r>
        <m:r>
          <m:t>a</m:t>
        </m:r>
        <m:r>
          <m:t>v</m:t>
        </m:r>
        <m:r>
          <m:t>g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b</m:t>
        </m:r>
        <m:r>
          <m:t>r</m:t>
        </m:r>
        <m:r>
          <m:t>i</m:t>
        </m:r>
        <m:r>
          <m:t>n</m:t>
        </m:r>
        <m:r>
          <m:t>g</m:t>
        </m:r>
        <m:r>
          <m:t>i</m:t>
        </m:r>
        <m:r>
          <m:t>n</m:t>
        </m:r>
        <m:r>
          <m:t>g</m:t>
        </m:r>
        <m:r>
          <m:t>c</m:t>
        </m:r>
        <m:r>
          <m:t>u</m:t>
        </m:r>
        <m:r>
          <m:t>m</m:t>
        </m:r>
        <m:r>
          <m:t>u</m:t>
        </m:r>
        <m:r>
          <m:t>l</m:t>
        </m:r>
        <m:r>
          <m:t>a</m:t>
        </m:r>
        <m:r>
          <m:t>t</m:t>
        </m:r>
        <m:r>
          <m:t>i</m:t>
        </m:r>
        <m:r>
          <m:t>v</m:t>
        </m:r>
        <m:r>
          <m:t>e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s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500 million since August 2025**; the</w:t>
      </w:r>
      <w:r>
        <w:t xml:space="preserve"> </w:t>
      </w:r>
      <w:r>
        <w:rPr>
          <w:b/>
          <w:bCs/>
        </w:rPr>
        <w:t xml:space="preserve">annual dividend was raised 1.4% to $2.81/share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0"/>
    <w:bookmarkStart w:id="11" w:name="Xeb9a420e0a30c8bed365347d4538960e9c7ffdc"/>
    <w:p>
      <w:pPr>
        <w:pStyle w:val="Heading2"/>
      </w:pPr>
      <w:r>
        <w:t xml:space="preserve">3. Q2 2026 Guidance — The Numbers to Beat</w:t>
      </w:r>
    </w:p>
    <w:p>
      <w:pPr>
        <w:pStyle w:val="FirstParagraph"/>
      </w:pPr>
      <w:r>
        <w:t xml:space="preserve">Management's own guidance range, issued alongside Q1 results: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2026 Guidance</w:t>
            </w:r>
          </w:p>
        </w:tc>
        <w:tc>
          <w:tcPr/>
          <w:p>
            <w:pPr>
              <w:pStyle w:val="Compact"/>
            </w:pPr>
            <w:r>
              <w:t xml:space="preserve">Q1 2026 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$0.28 – $0.32</w:t>
            </w:r>
          </w:p>
        </w:tc>
        <w:tc>
          <w:tcPr/>
          <w:p>
            <w:pPr>
              <w:pStyle w:val="Compact"/>
            </w:pPr>
            <w:r>
              <w:t xml:space="preserve">$0.24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FFO/share</w:t>
            </w:r>
          </w:p>
        </w:tc>
        <w:tc>
          <w:tcPr/>
          <w:p>
            <w:pPr>
              <w:pStyle w:val="Compact"/>
            </w:pPr>
            <w:r>
              <w:t xml:space="preserve">$0.97 – $1.01</w:t>
            </w:r>
          </w:p>
        </w:tc>
        <w:tc>
          <w:tcPr/>
          <w:p>
            <w:pPr>
              <w:pStyle w:val="Compact"/>
            </w:pPr>
            <w:r>
              <w:t xml:space="preserve">$0.89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Normalized FFO/share</w:t>
            </w:r>
          </w:p>
        </w:tc>
        <w:tc>
          <w:tcPr/>
          <w:p>
            <w:pPr>
              <w:pStyle w:val="Compact"/>
            </w:pPr>
            <w:r>
              <w:t xml:space="preserve">$0.98 – $1.02</w:t>
            </w:r>
          </w:p>
        </w:tc>
        <w:tc>
          <w:tcPr/>
          <w:p>
            <w:pPr>
              <w:pStyle w:val="Compact"/>
            </w:pPr>
            <w:r>
              <w:t xml:space="preserve">$0.99</w:t>
            </w:r>
          </w:p>
        </w:tc>
      </w:tr>
    </w:tbl>
    <w:p>
      <w:pPr>
        <w:pStyle w:val="BodyText"/>
      </w:pPr>
      <w:r>
        <w:t xml:space="preserve">Full-year 2026 Normalized FFO guidance was</w:t>
      </w:r>
      <w:r>
        <w:t xml:space="preserve"> </w:t>
      </w:r>
      <w:r>
        <w:rPr>
          <w:b/>
          <w:bCs/>
        </w:rPr>
        <w:t xml:space="preserve">maintained at</w:t>
      </w:r>
      <w:r>
        <w:rPr>
          <w:b/>
          <w:bCs/>
        </w:rPr>
        <w:t xml:space="preserve"> </w:t>
      </w:r>
      <m:oMath>
        <m:r>
          <m:t>4.02</m:t>
        </m:r>
        <m:r>
          <m:rPr>
            <m:sty m:val="p"/>
          </m:rPr>
          <m:t>–</m:t>
        </m:r>
      </m:oMath>
      <w:r>
        <w:rPr>
          <w:b/>
          <w:bCs/>
        </w:rPr>
        <w:t xml:space="preserve">4.14/share</w:t>
      </w:r>
      <w:r>
        <w:t xml:space="preserve">, with same-store assumptions of</w:t>
      </w:r>
      <w:r>
        <w:t xml:space="preserve"> </w:t>
      </w:r>
      <w:r>
        <w:rPr>
          <w:b/>
          <w:bCs/>
        </w:rPr>
        <w:t xml:space="preserve">1.2%–3.2% revenue growth</w:t>
      </w:r>
      <w:r>
        <w:t xml:space="preserve">,</w:t>
      </w:r>
      <w:r>
        <w:t xml:space="preserve"> </w:t>
      </w:r>
      <w:r>
        <w:rPr>
          <w:b/>
          <w:bCs/>
        </w:rPr>
        <w:t xml:space="preserve">3.0%–4.0% expense growth</w:t>
      </w:r>
      <w:r>
        <w:t xml:space="preserve">, and</w:t>
      </w:r>
      <w:r>
        <w:t xml:space="preserve"> </w:t>
      </w:r>
      <w:r>
        <w:rPr>
          <w:b/>
          <w:bCs/>
        </w:rPr>
        <w:t xml:space="preserve">0.5%–2.5% NOI growth</w:t>
      </w:r>
      <w:r>
        <w:t xml:space="preserve">.</w:t>
      </w:r>
    </w:p>
    <w:p>
      <w:pPr>
        <w:pStyle w:val="BodyText"/>
      </w:pPr>
      <w:r>
        <w:t xml:space="preserve">Wall Street consensus heading into the print sits right at the top of guidance: the</w:t>
      </w:r>
      <w:r>
        <w:t xml:space="preserve"> </w:t>
      </w:r>
      <w:r>
        <w:rPr>
          <w:b/>
          <w:bCs/>
        </w:rPr>
        <w:t xml:space="preserve">Zacks consensus for Q2 Normalized FFO is</w:t>
      </w:r>
      <w:r>
        <w:rPr>
          <w:b/>
          <w:bCs/>
        </w:rPr>
        <w:t xml:space="preserve"> </w:t>
      </w:r>
      <m:oMath>
        <m:r>
          <m:t>1.01</m:t>
        </m:r>
        <m:r>
          <m:rPr>
            <m:sty m:val="p"/>
          </m:rPr>
          <m:t>/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i</m:t>
        </m:r>
        <m:r>
          <m:t>m</m:t>
        </m:r>
        <m:r>
          <m:t>p</m:t>
        </m:r>
        <m:r>
          <m:t>l</m:t>
        </m:r>
        <m:r>
          <m:t>y</m:t>
        </m:r>
        <m:r>
          <m:t>i</m:t>
        </m:r>
        <m:r>
          <m:t>n</m:t>
        </m:r>
        <m:r>
          <m:t>g</m:t>
        </m:r>
        <m:r>
          <m:t> </m:t>
        </m:r>
        <m:r>
          <m:t>2</m:t>
        </m:r>
      </m:oMath>
      <w:r>
        <w:rPr>
          <w:b/>
          <w:bCs/>
        </w:rPr>
        <w:t xml:space="preserve">769–790 million</w:t>
      </w:r>
      <w:r>
        <w:t xml:space="preserve">. Investors should watch whether EQR can clear that bar — the company has a mixed beat history, having</w:t>
      </w:r>
      <w:r>
        <w:t xml:space="preserve"> </w:t>
      </w:r>
      <w:r>
        <w:rPr>
          <w:b/>
          <w:bCs/>
        </w:rPr>
        <w:t xml:space="preserve">surpassed, met, or missed Zacks consensus FFO in roughly even measure over the last four quarters</w:t>
      </w:r>
      <w:r>
        <w:t xml:space="preserve"> </w:t>
      </w:r>
      <w:r>
        <w:t xml:space="preserve">with a modest average surprise (~0.8%).</w:t>
      </w:r>
    </w:p>
    <w:p>
      <w:r>
        <w:pict>
          <v:rect style="width:0;height:1.5pt" o:hralign="center" o:hrstd="t" o:hr="t"/>
        </w:pict>
      </w:r>
    </w:p>
    <w:bookmarkEnd w:id="11"/>
    <w:bookmarkStart w:id="12" w:name="Xe142113867277ce84953ebb1a41eb72119e2aef"/>
    <w:p>
      <w:pPr>
        <w:pStyle w:val="Heading2"/>
      </w:pPr>
      <w:r>
        <w:t xml:space="preserve">4. Operating Trends to Watch</w:t>
      </w:r>
    </w:p>
    <w:p>
      <w:pPr>
        <w:pStyle w:val="FirstParagraph"/>
      </w:pPr>
      <w:r>
        <w:rPr>
          <w:b/>
          <w:bCs/>
        </w:rPr>
        <w:t xml:space="preserve">Coastal strength, Sunbelt/secondary softness — the story hasn't changed.</w:t>
      </w:r>
      <w:r>
        <w:t xml:space="preserve"> </w:t>
      </w:r>
      <w:r>
        <w:t xml:space="preserve">On the Q1 call, management was explicit that the setup for 2026 rests on: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San Francisco and New York (~30% of NOI) leading the portfolio.</w:t>
      </w:r>
      <w:r>
        <w:t xml:space="preserve"> </w:t>
      </w:r>
      <w:r>
        <w:t xml:space="preserve">Management noted these two markets "constitute about 30% of our NOI and have the best supply and demand outlooks in the country," with SF benefiting from the AI hiring boom (office leasing, in-migration from outside the metro) and NY benefiting from record bank profits and near-zero new supply.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Boston and Seattle lagging expectations</w:t>
      </w:r>
      <w:r>
        <w:t xml:space="preserve"> </w:t>
      </w:r>
      <w:r>
        <w:t xml:space="preserve">— Boston hurt by severe winter weather and softness in Cambridge life-sciences funding; Seattle still absorbing 2025 supply and historically lags SF's cycle by about a year.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D.C. and L.A. tracking "modest" expectations</w:t>
      </w:r>
      <w:r>
        <w:t xml:space="preserve"> </w:t>
      </w:r>
      <w:r>
        <w:t xml:space="preserve">— D.C. supply is down ~65% y/y but demand confidence is the missing catalyst; L.A. continues to be weighed down by entertainment-industry uncertainty.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Expansion markets (Atlanta, Dallas, Denver, Austin) showing early recovery signs</w:t>
      </w:r>
      <w:r>
        <w:t xml:space="preserve">, with Atlanta the standout as concessions decline, while Austin remains "the laggard" given lingering oversupply.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Sequential pricing momentum</w:t>
      </w:r>
      <w:r>
        <w:t xml:space="preserve">: New lease change guided to build from roughly -1% in April toward flat as the year progresses; renewal rate achieved trending near 5%, supported by a centralized renewal platform and record-low turnover.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Concessions</w:t>
      </w:r>
      <w:r>
        <w:t xml:space="preserve">: cash concessions were down ~21% y/y in Q1, with management guiding to a full-year reduction of roughly 20% versus 2025, concentrated improvement expected to show up more in the back half as new supply craters (deliveries in EQR markets guided down ~35% in 2026 vs. 2025).</w:t>
      </w:r>
    </w:p>
    <w:p>
      <w:pPr>
        <w:pStyle w:val="FirstParagraph"/>
      </w:pPr>
      <w:r>
        <w:rPr>
          <w:b/>
          <w:bCs/>
        </w:rPr>
        <w:t xml:space="preserve">Key swing factor:</w:t>
      </w:r>
      <w:r>
        <w:t xml:space="preserve"> </w:t>
      </w:r>
      <w:r>
        <w:t xml:space="preserve">Management flagged that the single missing ingredient for a more broad-based acceleration is</w:t>
      </w:r>
      <w:r>
        <w:t xml:space="preserve"> </w:t>
      </w:r>
      <w:r>
        <w:rPr>
          <w:b/>
          <w:bCs/>
        </w:rPr>
        <w:t xml:space="preserve">job growth</w:t>
      </w:r>
      <w:r>
        <w:t xml:space="preserve"> </w:t>
      </w:r>
      <w:r>
        <w:t xml:space="preserve">— "mixed" signals overall, but with some "green shoots" in tech/AI-related job postings since November 2025. Watch for updated commentary on labor market signals, especially any incremental read-through from tech layoff headlines versus AI-driven hiring in the Bay Area.</w:t>
      </w:r>
    </w:p>
    <w:bookmarkEnd w:id="12"/>
    <w:bookmarkStart w:id="13" w:name="Xe6bb8ae659e9677b72e181382c929093f4f6648"/>
    <w:p>
      <w:pPr>
        <w:pStyle w:val="Heading2"/>
      </w:pPr>
      <w:r>
        <w:t xml:space="preserve">5. Expenses, Balance Sheet, and Capital Allocation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Expense growth remains the offset to healthy top-line trends.</w:t>
      </w:r>
      <w:r>
        <w:t xml:space="preserve"> </w:t>
      </w:r>
      <w:r>
        <w:t xml:space="preserve">Real estate taxes, utilities (weather- and commodity-driven), insurance (property premiums down, but general liability up), and repairs/maintenance have all been running hot; full-year same-store expense growth is guided to 3.0%–4.0%.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Balance sheet remains conservative</w:t>
      </w:r>
      <w:r>
        <w:t xml:space="preserve">: total debt/Normalized EBITDAre of</w:t>
      </w:r>
      <w:r>
        <w:t xml:space="preserve"> </w:t>
      </w:r>
      <w:r>
        <w:rPr>
          <w:b/>
          <w:bCs/>
        </w:rPr>
        <w:t xml:space="preserve">4.38x</w:t>
      </w:r>
      <w:r>
        <w:t xml:space="preserve">, net debt/EBITDAre of</w:t>
      </w:r>
      <w:r>
        <w:t xml:space="preserve"> </w:t>
      </w:r>
      <w:r>
        <w:rPr>
          <w:b/>
          <w:bCs/>
        </w:rPr>
        <w:t xml:space="preserve">4.35x</w:t>
      </w:r>
      <w:r>
        <w:t xml:space="preserve">, with</w:t>
      </w:r>
      <w:r>
        <w:t xml:space="preserve"> </w:t>
      </w:r>
      <w:r>
        <w:rPr>
          <w:b/>
          <w:bCs/>
        </w:rPr>
        <w:t xml:space="preserve">90.1% of NOI unencumbered</w:t>
      </w:r>
      <w:r>
        <w:t xml:space="preserve"> </w:t>
      </w:r>
      <w:r>
        <w:t xml:space="preserve">and a well-laddered maturity schedule (weighted average maturity 6.3 years, weighted average rate 3.78%).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Capital recycling continues</w:t>
      </w:r>
      <w:r>
        <w:t xml:space="preserve">: EQR guided to</w:t>
      </w:r>
      <w:r>
        <w:t xml:space="preserve"> </w:t>
      </w:r>
      <w:r>
        <w:rPr>
          <w:b/>
          <w:bCs/>
        </w:rPr>
        <w:t xml:space="preserve">$165 million of dispositions</w:t>
      </w:r>
      <w:r>
        <w:t xml:space="preserve"> </w:t>
      </w:r>
      <w:r>
        <w:t xml:space="preserve">in 2026 (older, capital-intensive, or geographically concentrated assets, notably in L.A. and Seattle), funding continued buybacks. Management has signaled comfort using the balance sheet opportunistically given the low leverage.</w:t>
      </w:r>
    </w:p>
    <w:p>
      <w:pPr>
        <w:pStyle w:val="Compact"/>
        <w:numPr>
          <w:ilvl w:val="0"/>
          <w:numId w:val="1004"/>
        </w:numPr>
      </w:pPr>
      <w:r>
        <w:t xml:space="preserve">Watch for</w:t>
      </w:r>
      <w:r>
        <w:t xml:space="preserve"> </w:t>
      </w:r>
      <w:r>
        <w:rPr>
          <w:b/>
          <w:bCs/>
        </w:rPr>
        <w:t xml:space="preserve">updated disposition/acquisition and buyback commentary</w:t>
      </w:r>
      <w:r>
        <w:t xml:space="preserve"> </w:t>
      </w:r>
      <w:r>
        <w:t xml:space="preserve">given the pending merger — capital allocation decisions in the run-up to closing (buybacks, developer JV commitments in Atlanta, dividend policy) could face more scrutiny than usual as both companies coordinate ahead of the deal's 2H26 close.</w:t>
      </w:r>
    </w:p>
    <w:p>
      <w:r>
        <w:pict>
          <v:rect style="width:0;height:1.5pt" o:hralign="center" o:hrstd="t" o:hr="t"/>
        </w:pict>
      </w:r>
    </w:p>
    <w:bookmarkEnd w:id="13"/>
    <w:bookmarkStart w:id="14" w:name="X46f29e3e03b1f5d5d89a6cbc1be68715f06b803"/>
    <w:p>
      <w:pPr>
        <w:pStyle w:val="Heading2"/>
      </w:pPr>
      <w:r>
        <w:t xml:space="preserve">6. Sector/Macro Backdrop</w:t>
      </w:r>
    </w:p>
    <w:p>
      <w:pPr>
        <w:pStyle w:val="Compact"/>
        <w:numPr>
          <w:ilvl w:val="0"/>
          <w:numId w:val="1005"/>
        </w:numPr>
      </w:pPr>
      <w:r>
        <w:t xml:space="preserve">Broader multifamily/real-estate news flow has focused on</w:t>
      </w:r>
      <w:r>
        <w:t xml:space="preserve"> </w:t>
      </w:r>
      <w:r>
        <w:rPr>
          <w:b/>
          <w:bCs/>
        </w:rPr>
        <w:t xml:space="preserve">new state-level housing legislation prompting rental owners to sell more property</w:t>
      </w:r>
      <w:r>
        <w:t xml:space="preserve">, a dynamic worth monitoring given EQR's active disposition program.</w:t>
      </w:r>
    </w:p>
    <w:p>
      <w:pPr>
        <w:pStyle w:val="Compact"/>
        <w:numPr>
          <w:ilvl w:val="0"/>
          <w:numId w:val="1005"/>
        </w:numPr>
      </w:pPr>
      <w:r>
        <w:t xml:space="preserve">Regulatory risk remains a live watch-item: management called out</w:t>
      </w:r>
      <w:r>
        <w:t xml:space="preserve"> </w:t>
      </w:r>
      <w:r>
        <w:rPr>
          <w:b/>
          <w:bCs/>
        </w:rPr>
        <w:t xml:space="preserve">Massachusetts rent-control ballot measure risk</w:t>
      </w:r>
      <w:r>
        <w:t xml:space="preserve"> </w:t>
      </w:r>
      <w:r>
        <w:t xml:space="preserve">as "the main show this year," alongside a D.C. proposal to freeze rents for two years — both potential swing factors for capital allocation and market-level growth assumptions in the Northeast.</w:t>
      </w:r>
    </w:p>
    <w:p>
      <w:pPr>
        <w:pStyle w:val="Compact"/>
        <w:numPr>
          <w:ilvl w:val="0"/>
          <w:numId w:val="1005"/>
        </w:numPr>
      </w:pPr>
      <w:r>
        <w:t xml:space="preserve">Peer stock performance (AVB, MAA, UDR, ESS) has broadly tracked with EQR year-to-date, with the group re-rating higher since the merger announcement in late May, reflecting both sector sentiment and merger-arb dynamics specific to EQR/AVB.</w:t>
      </w:r>
    </w:p>
    <w:p>
      <w:r>
        <w:pict>
          <v:rect style="width:0;height:1.5pt" o:hralign="center" o:hrstd="t" o:hr="t"/>
        </w:pict>
      </w:r>
    </w:p>
    <w:bookmarkEnd w:id="14"/>
    <w:bookmarkStart w:id="15" w:name="Xd8d6d0e2cf103038e042500f7712122d556da10"/>
    <w:p>
      <w:pPr>
        <w:pStyle w:val="Heading2"/>
      </w:pPr>
      <w:r>
        <w:t xml:space="preserve">7. What to Watch For Tomorrow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Did NFFO clear the</w:t>
      </w:r>
      <w:r>
        <w:rPr>
          <w:b/>
          <w:bCs/>
        </w:rPr>
        <w:t xml:space="preserve"> </w:t>
      </w:r>
      <m:oMath>
        <m:r>
          <m:t>1.00</m:t>
        </m:r>
        <m:r>
          <m:rPr>
            <m:sty m:val="p"/>
          </m:rPr>
          <m:t>–</m:t>
        </m:r>
      </m:oMath>
      <w:r>
        <w:rPr>
          <w:b/>
          <w:bCs/>
        </w:rPr>
        <w:t xml:space="preserve">1.02 area</w:t>
      </w:r>
      <w:r>
        <w:t xml:space="preserve"> </w:t>
      </w:r>
      <w:r>
        <w:t xml:space="preserve">(top of guidance/consensus), and is full-year guidance reaffirmed, raised, or trimmed?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Blended lease rate trajectory</w:t>
      </w:r>
      <w:r>
        <w:t xml:space="preserve"> </w:t>
      </w:r>
      <w:r>
        <w:t xml:space="preserve">— did New York/San Francisco strength broaden to Boston/Seattle/D.C. as the "sequential build" management promised for Q2?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Expense growth</w:t>
      </w:r>
      <w:r>
        <w:t xml:space="preserve"> </w:t>
      </w:r>
      <w:r>
        <w:t xml:space="preserve">— any signs of relief in insurance/utilities, or further pressure that could squeeze full-year NOI growth toward the low end of the 0.5%–2.5% guided range?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Any incremental merger-related disclosure</w:t>
      </w:r>
      <w:r>
        <w:t xml:space="preserve"> </w:t>
      </w:r>
      <w:r>
        <w:t xml:space="preserve">— updates on regulatory approvals, synergy assumptions, or capital-allocation coordination with AVB ahead of the August 12 shareholder votes.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Buyback/disposition pace</w:t>
      </w:r>
      <w:r>
        <w:t xml:space="preserve"> </w:t>
      </w:r>
      <w:r>
        <w:t xml:space="preserve">— confirmation of the $165 million disposition target and any change in repurchase activity given the stock's move since the merger announcement.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Labor-market color</w:t>
      </w:r>
      <w:r>
        <w:t xml:space="preserve"> </w:t>
      </w:r>
      <w:r>
        <w:t xml:space="preserve">— whether management's "cautious optimism" on tech/AI-related job postings has firmed up or faded, given this is the single variable they've identified as needed to unlock broader portfolio acceleration.</w:t>
      </w:r>
    </w:p>
    <w:p>
      <w:pPr>
        <w:pStyle w:val="FirstParagraph"/>
      </w:pPr>
      <w:r>
        <w:rPr>
          <w:i/>
          <w:iCs/>
        </w:rPr>
        <w:t xml:space="preserve">Note: Because there's no earnings call this quarter, most incremental color will need to come from the earnings release, supplemental package, and investor presentation rather than live Q&amp;A — a meaningful change in disclosure cadence for a name investors are used to hearing extensively from each quarter.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2026-07-22T00:58:00Z</dcterms:created>
  <dcterms:modified xsi:type="dcterms:W3CDTF">2026-07-22T00:58:00Z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