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r-earnings-predictions--2026-07-22"/>
    <w:p>
      <w:pPr>
        <w:pStyle w:val="Heading1"/>
      </w:pPr>
      <w:r>
        <w:t xml:space="preserve">EQR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normalized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~$1.02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~2.7%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2.2%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 per 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~$4.08 vs. cons $4.10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~1.7% vs. cons 1.8%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normalized FFO per 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~$1.03 vs. cons $1.04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-0.2% (FADE)</w:t>
            </w:r>
          </w:p>
        </w:tc>
        <w:tc>
          <w:tcPr/>
          <w:p>
            <w:pPr>
              <w:pStyle w:val="Compact"/>
            </w:pPr>
            <w:r>
              <w:t xml:space="preserve">Operating KPIs should support an initial gain, but FY2026 guidance of ~$4.08 versus consensus of $4.10 implies approximately $2.06 of second-half NFFO after the predicted first half, below roughly $2.09 embedded in consensus; that out-period cut should pull estimates lower and fade the headline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2026-07-22T00:55:31Z</dcterms:created>
  <dcterms:modified xsi:type="dcterms:W3CDTF">2026-07-22T00:55:31Z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