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a055fcd04cb03dda3b49636d6dfd09b4abe6a0"/>
    <w:p>
      <w:pPr>
        <w:pStyle w:val="Heading1"/>
      </w:pPr>
      <w:r>
        <w:t xml:space="preserve">Equity Residential (EQR) Q2 2026 Earnings Preview</w:t>
      </w:r>
    </w:p>
    <w:p>
      <w:pPr>
        <w:pStyle w:val="BlockText"/>
      </w:pPr>
      <w:r>
        <w:rPr>
          <w:b/>
          <w:bCs/>
        </w:rPr>
        <w:t xml:space="preserve">Date clarification:</w:t>
      </w:r>
      <w:r>
        <w:t xml:space="preserve"> </w:t>
      </w:r>
      <w:r>
        <w:t xml:space="preserve">Equity Residential is scheduled to report</w:t>
      </w:r>
      <w:r>
        <w:t xml:space="preserve"> </w:t>
      </w:r>
      <w:r>
        <w:rPr>
          <w:b/>
          <w:bCs/>
        </w:rPr>
        <w:t xml:space="preserve">today, Wednesday, July 22, 2026, after the market close</w:t>
      </w:r>
      <w:r>
        <w:t xml:space="preserve">—not tomorrow. Because of its pending merger with AvalonBay Communities, EQR will</w:t>
      </w:r>
      <w:r>
        <w:t xml:space="preserve"> </w:t>
      </w:r>
      <w:r>
        <w:rPr>
          <w:b/>
          <w:bCs/>
        </w:rPr>
        <w:t xml:space="preserve">not hold an earnings call</w:t>
      </w:r>
      <w:r>
        <w:t xml:space="preserve">; an investor presentation will be posted after the close. (</w:t>
      </w:r>
      <w:hyperlink r:id="rId9">
        <w:r>
          <w:rPr>
            <w:rStyle w:val="Hyperlink"/>
          </w:rPr>
          <w:t xml:space="preserve">investors.equityapartments.com</w:t>
        </w:r>
      </w:hyperlink>
      <w:r>
        <w:t xml:space="preserve">)</w:t>
      </w:r>
    </w:p>
    <w:bookmarkStart w:id="11" w:name="preview-at-a-glance"/>
    <w:p>
      <w:pPr>
        <w:pStyle w:val="Heading2"/>
      </w:pPr>
      <w:r>
        <w:t xml:space="preserve">Preview 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jc w:val="right"/>
            </w:pPr>
            <w:r>
              <w:t xml:space="preserve">Q2 2026 benchmark</w:t>
            </w:r>
          </w:p>
        </w:tc>
      </w:tr>
      <w:tr>
        <w:tc>
          <w:tcPr/>
          <w:p>
            <w:pPr>
              <w:pStyle w:val="Compact"/>
            </w:pPr>
            <w:r>
              <w:t xml:space="preserve">Normalized FFO consensus</w:t>
            </w:r>
          </w:p>
        </w:tc>
        <w:tc>
          <w:tcPr/>
          <w:p>
            <w:pPr>
              <w:pStyle w:val="Compact"/>
              <w:jc w:val="right"/>
            </w:pPr>
            <w:r>
              <w:rPr>
                <w:b/>
                <w:bCs/>
              </w:rPr>
              <w:t xml:space="preserve">$1.01/share</w:t>
            </w:r>
          </w:p>
        </w:tc>
      </w:tr>
      <w:tr>
        <w:tc>
          <w:tcPr/>
          <w:p>
            <w:pPr>
              <w:pStyle w:val="Compact"/>
            </w:pPr>
            <w:r>
              <w:t xml:space="preserve">Company NFFO guidance</w:t>
            </w:r>
          </w:p>
        </w:tc>
        <w:tc>
          <w:tcPr/>
          <w:p>
            <w:pPr>
              <w:pStyle w:val="Compact"/>
              <w:jc w:val="right"/>
            </w:pPr>
            <m:oMath>
              <m:r>
                <m:t>0.98</m:t>
              </m:r>
              <m:r>
                <m:rPr>
                  <m:sty m:val="p"/>
                </m:rPr>
                <m:t>–</m:t>
              </m:r>
            </m:oMath>
            <w:r>
              <w:rPr>
                <w:b/>
                <w:bCs/>
              </w:rPr>
              <w:t xml:space="preserve">1.02/share</w:t>
            </w:r>
          </w:p>
        </w:tc>
      </w:tr>
      <w:tr>
        <w:tc>
          <w:tcPr/>
          <w:p>
            <w:pPr>
              <w:pStyle w:val="Compact"/>
            </w:pPr>
            <w:r>
              <w:t xml:space="preserve">Revenue estimate</w:t>
            </w:r>
          </w:p>
        </w:tc>
        <w:tc>
          <w:tcPr/>
          <w:p>
            <w:pPr>
              <w:pStyle w:val="Compact"/>
              <w:jc w:val="right"/>
            </w:pPr>
            <w:r>
              <w:t xml:space="preserve">Approximately</w:t>
            </w:r>
            <w:r>
              <w:t xml:space="preserve"> </w:t>
            </w:r>
            <w:r>
              <w:rPr>
                <w:b/>
                <w:bCs/>
              </w:rPr>
              <w:t xml:space="preserve">$790 million</w:t>
            </w:r>
          </w:p>
        </w:tc>
      </w:tr>
      <w:tr>
        <w:tc>
          <w:tcPr/>
          <w:p>
            <w:pPr>
              <w:pStyle w:val="Compact"/>
            </w:pPr>
            <w:r>
              <w:t xml:space="preserve">Estimated same-store revenue growth</w:t>
            </w:r>
          </w:p>
        </w:tc>
        <w:tc>
          <w:tcPr/>
          <w:p>
            <w:pPr>
              <w:pStyle w:val="Compact"/>
              <w:jc w:val="right"/>
            </w:pPr>
            <w:r>
              <w:t xml:space="preserve">Approximately</w:t>
            </w:r>
            <w:r>
              <w:t xml:space="preserve"> </w:t>
            </w:r>
            <w:r>
              <w:rPr>
                <w:b/>
                <w:bCs/>
              </w:rPr>
              <w:t xml:space="preserve">2.6%</w:t>
            </w:r>
          </w:p>
        </w:tc>
      </w:tr>
      <w:tr>
        <w:tc>
          <w:tcPr/>
          <w:p>
            <w:pPr>
              <w:pStyle w:val="Compact"/>
            </w:pPr>
            <w:r>
              <w:t xml:space="preserve">Estimated same-store NOI growth</w:t>
            </w:r>
          </w:p>
        </w:tc>
        <w:tc>
          <w:tcPr/>
          <w:p>
            <w:pPr>
              <w:pStyle w:val="Compact"/>
              <w:jc w:val="right"/>
            </w:pPr>
            <w:r>
              <w:t xml:space="preserve">Approximately</w:t>
            </w:r>
            <w:r>
              <w:t xml:space="preserve"> </w:t>
            </w:r>
            <w:r>
              <w:rPr>
                <w:b/>
                <w:bCs/>
              </w:rPr>
              <w:t xml:space="preserve">2.2%</w:t>
            </w:r>
          </w:p>
        </w:tc>
      </w:tr>
      <w:tr>
        <w:tc>
          <w:tcPr/>
          <w:p>
            <w:pPr>
              <w:pStyle w:val="Compact"/>
            </w:pPr>
            <w:r>
              <w:t xml:space="preserve">FY2026 NFFO guidance</w:t>
            </w:r>
          </w:p>
        </w:tc>
        <w:tc>
          <w:tcPr/>
          <w:p>
            <w:pPr>
              <w:pStyle w:val="Compact"/>
              <w:jc w:val="right"/>
            </w:pPr>
            <m:oMath>
              <m:r>
                <m:t>4.02</m:t>
              </m:r>
              <m:r>
                <m:rPr>
                  <m:sty m:val="p"/>
                </m:rPr>
                <m:t>–</m:t>
              </m:r>
            </m:oMath>
            <w:r>
              <w:rPr>
                <w:b/>
                <w:bCs/>
              </w:rPr>
              <w:t xml:space="preserve">4.14/share</w:t>
            </w:r>
          </w:p>
        </w:tc>
      </w:tr>
      <w:tr>
        <w:tc>
          <w:tcPr/>
          <w:p>
            <w:pPr>
              <w:pStyle w:val="Compact"/>
            </w:pPr>
            <w:r>
              <w:t xml:space="preserve">FY2026 same-store NOI guidance</w:t>
            </w:r>
          </w:p>
        </w:tc>
        <w:tc>
          <w:tcPr/>
          <w:p>
            <w:pPr>
              <w:pStyle w:val="Compact"/>
              <w:jc w:val="right"/>
            </w:pPr>
            <w:r>
              <w:rPr>
                <w:b/>
                <w:bCs/>
              </w:rPr>
              <w:t xml:space="preserve">0.5%–2.5%</w:t>
            </w:r>
          </w:p>
        </w:tc>
      </w:tr>
      <w:tr>
        <w:tc>
          <w:tcPr/>
          <w:p>
            <w:pPr>
              <w:pStyle w:val="Compact"/>
            </w:pPr>
            <w:r>
              <w:t xml:space="preserve">July 21 EQR close</w:t>
            </w:r>
          </w:p>
        </w:tc>
        <w:tc>
          <w:tcPr/>
          <w:p>
            <w:pPr>
              <w:pStyle w:val="Compact"/>
              <w:jc w:val="right"/>
            </w:pPr>
            <w:r>
              <w:rPr>
                <w:b/>
                <w:bCs/>
              </w:rPr>
              <w:t xml:space="preserve">$68.31</w:t>
            </w:r>
          </w:p>
        </w:tc>
      </w:tr>
      <w:tr>
        <w:tc>
          <w:tcPr/>
          <w:p>
            <w:pPr>
              <w:pStyle w:val="Compact"/>
            </w:pPr>
            <w:r>
              <w:t xml:space="preserve">Valuation at FY guidance midpoint</w:t>
            </w:r>
          </w:p>
        </w:tc>
        <w:tc>
          <w:tcPr/>
          <w:p>
            <w:pPr>
              <w:pStyle w:val="Compact"/>
              <w:jc w:val="right"/>
            </w:pPr>
            <w:r>
              <w:t xml:space="preserve">Approximately</w:t>
            </w:r>
            <w:r>
              <w:t xml:space="preserve"> </w:t>
            </w:r>
            <w:r>
              <w:rPr>
                <w:b/>
                <w:bCs/>
              </w:rPr>
              <w:t xml:space="preserve">16.7x NFFO</w:t>
            </w:r>
          </w:p>
        </w:tc>
      </w:tr>
      <w:tr>
        <w:tc>
          <w:tcPr/>
          <w:p>
            <w:pPr>
              <w:pStyle w:val="Compact"/>
            </w:pPr>
            <w:r>
              <w:t xml:space="preserve">Annualized dividend yield</w:t>
            </w:r>
          </w:p>
        </w:tc>
        <w:tc>
          <w:tcPr/>
          <w:p>
            <w:pPr>
              <w:pStyle w:val="Compact"/>
              <w:jc w:val="right"/>
            </w:pPr>
            <w:r>
              <w:t xml:space="preserve">Approximately</w:t>
            </w:r>
            <w:r>
              <w:t xml:space="preserve"> </w:t>
            </w:r>
            <w:r>
              <w:rPr>
                <w:b/>
                <w:bCs/>
              </w:rPr>
              <w:t xml:space="preserve">4.1%</w:t>
            </w:r>
          </w:p>
        </w:tc>
      </w:tr>
    </w:tbl>
    <w:p>
      <w:pPr>
        <w:pStyle w:val="BodyText"/>
      </w:pPr>
      <w:r>
        <w:t xml:space="preserve">Public consensus estimates call for normalized FFO of $1.01 per share, near the upper end of management’s range. That means the headline number has limited room for a meaningful positive surprise; leasing trends, guidance and merger disclosures are likely to matter more. (</w:t>
      </w:r>
      <w:hyperlink r:id="rId10">
        <w:r>
          <w:rPr>
            <w:rStyle w:val="Hyperlink"/>
          </w:rPr>
          <w:t xml:space="preserve">zacks.com</w:t>
        </w:r>
      </w:hyperlink>
      <w:r>
        <w:t xml:space="preserve">)</w:t>
      </w:r>
    </w:p>
    <w:p>
      <w:r>
        <w:pict>
          <v:rect style="width:0;height:1.5pt" o:hralign="center" o:hrstd="t" o:hr="t"/>
        </w:pict>
      </w:r>
    </w:p>
    <w:bookmarkEnd w:id="11"/>
    <w:bookmarkStart w:id="12" w:name="Xaa5db98bd498ed3443b118b08e16475ab3908c4"/>
    <w:p>
      <w:pPr>
        <w:pStyle w:val="Heading2"/>
      </w:pPr>
      <w:r>
        <w:t xml:space="preserve">The central question: Did pricing power accelerate through peak leasing season?</w:t>
      </w:r>
    </w:p>
    <w:p>
      <w:pPr>
        <w:pStyle w:val="FirstParagraph"/>
      </w:pPr>
      <w:r>
        <w:t xml:space="preserve">EQR entered Q2 with improving momentum:</w:t>
      </w:r>
    </w:p>
    <w:p>
      <w:pPr>
        <w:pStyle w:val="Compact"/>
        <w:numPr>
          <w:ilvl w:val="0"/>
          <w:numId w:val="1001"/>
        </w:numPr>
      </w:pPr>
      <w:r>
        <w:t xml:space="preserve">Q1 blended lease-rate growth was</w:t>
      </w:r>
      <w:r>
        <w:t xml:space="preserve"> </w:t>
      </w:r>
      <w:r>
        <w:rPr>
          <w:b/>
          <w:bCs/>
        </w:rPr>
        <w:t xml:space="preserve">1.5%</w:t>
      </w:r>
      <w:r>
        <w:t xml:space="preserve">, up 130 basis points sequentially.</w:t>
      </w:r>
    </w:p>
    <w:p>
      <w:pPr>
        <w:pStyle w:val="Compact"/>
        <w:numPr>
          <w:ilvl w:val="0"/>
          <w:numId w:val="1001"/>
        </w:numPr>
      </w:pPr>
      <w:r>
        <w:t xml:space="preserve">Preliminary April blended growth reached</w:t>
      </w:r>
      <w:r>
        <w:t xml:space="preserve"> </w:t>
      </w:r>
      <w:r>
        <w:rPr>
          <w:b/>
          <w:bCs/>
        </w:rPr>
        <w:t xml:space="preserve">3.0%</w:t>
      </w:r>
      <w:r>
        <w:t xml:space="preserve">.</w:t>
      </w:r>
    </w:p>
    <w:p>
      <w:pPr>
        <w:pStyle w:val="Compact"/>
        <w:numPr>
          <w:ilvl w:val="0"/>
          <w:numId w:val="1001"/>
        </w:numPr>
      </w:pPr>
      <w:r>
        <w:t xml:space="preserve">April new-lease rates were still down</w:t>
      </w:r>
      <w:r>
        <w:t xml:space="preserve"> </w:t>
      </w:r>
      <w:r>
        <w:rPr>
          <w:b/>
          <w:bCs/>
        </w:rPr>
        <w:t xml:space="preserve">1.1%</w:t>
      </w:r>
      <w:r>
        <w:t xml:space="preserve">, but renewal increases reached</w:t>
      </w:r>
      <w:r>
        <w:t xml:space="preserve"> </w:t>
      </w:r>
      <w:r>
        <w:rPr>
          <w:b/>
          <w:bCs/>
        </w:rPr>
        <w:t xml:space="preserve">5.3%</w:t>
      </w:r>
      <w:r>
        <w:t xml:space="preserve">.</w:t>
      </w:r>
    </w:p>
    <w:p>
      <w:pPr>
        <w:pStyle w:val="Compact"/>
        <w:numPr>
          <w:ilvl w:val="0"/>
          <w:numId w:val="1001"/>
        </w:numPr>
      </w:pPr>
      <w:r>
        <w:t xml:space="preserve">Q1 physical occupancy was</w:t>
      </w:r>
      <w:r>
        <w:t xml:space="preserve"> </w:t>
      </w:r>
      <w:r>
        <w:rPr>
          <w:b/>
          <w:bCs/>
        </w:rPr>
        <w:t xml:space="preserve">96.5%</w:t>
      </w:r>
      <w:r>
        <w:t xml:space="preserve">.</w:t>
      </w:r>
    </w:p>
    <w:p>
      <w:pPr>
        <w:pStyle w:val="Compact"/>
        <w:numPr>
          <w:ilvl w:val="0"/>
          <w:numId w:val="1001"/>
        </w:numPr>
      </w:pPr>
      <w:r>
        <w:t xml:space="preserve">Resident turnover fell to</w:t>
      </w:r>
      <w:r>
        <w:t xml:space="preserve"> </w:t>
      </w:r>
      <w:r>
        <w:rPr>
          <w:b/>
          <w:bCs/>
        </w:rPr>
        <w:t xml:space="preserve">7.8%</w:t>
      </w:r>
      <w:r>
        <w:t xml:space="preserve">, the lowest in company history.</w:t>
      </w:r>
    </w:p>
    <w:p>
      <w:pPr>
        <w:pStyle w:val="Compact"/>
        <w:numPr>
          <w:ilvl w:val="0"/>
          <w:numId w:val="1001"/>
        </w:numPr>
      </w:pPr>
      <w:r>
        <w:t xml:space="preserve">Cash concessions declined</w:t>
      </w:r>
      <w:r>
        <w:t xml:space="preserve"> </w:t>
      </w:r>
      <w:r>
        <w:rPr>
          <w:b/>
          <w:bCs/>
        </w:rPr>
        <w:t xml:space="preserve">21% year over year</w:t>
      </w:r>
      <w:r>
        <w:t xml:space="preserve">.</w:t>
      </w:r>
    </w:p>
    <w:p>
      <w:pPr>
        <w:pStyle w:val="FirstParagraph"/>
      </w:pPr>
      <w:r>
        <w:t xml:space="preserve">Management expected new-lease growth to improve sequentially toward roughly flat during Q2, while achieved renewal increases remained around 5%. The most important operating disclosure will therefore be the May and June progression.</w:t>
      </w:r>
    </w:p>
    <w:p>
      <w:pPr>
        <w:pStyle w:val="BodyText"/>
      </w:pPr>
      <w:r>
        <w:rPr>
          <w:b/>
          <w:bCs/>
        </w:rPr>
        <w:t xml:space="preserve">A constructive report should show:</w:t>
      </w:r>
    </w:p>
    <w:p>
      <w:pPr>
        <w:pStyle w:val="Compact"/>
        <w:numPr>
          <w:ilvl w:val="0"/>
          <w:numId w:val="1002"/>
        </w:numPr>
      </w:pPr>
      <w:r>
        <w:t xml:space="preserve">New-lease spreads approaching or crossing zero.</w:t>
      </w:r>
    </w:p>
    <w:p>
      <w:pPr>
        <w:pStyle w:val="Compact"/>
        <w:numPr>
          <w:ilvl w:val="0"/>
          <w:numId w:val="1002"/>
        </w:numPr>
      </w:pPr>
      <w:r>
        <w:t xml:space="preserve">Blended spreads holding near or above 3%.</w:t>
      </w:r>
    </w:p>
    <w:p>
      <w:pPr>
        <w:pStyle w:val="Compact"/>
        <w:numPr>
          <w:ilvl w:val="0"/>
          <w:numId w:val="1002"/>
        </w:numPr>
      </w:pPr>
      <w:r>
        <w:t xml:space="preserve">Renewal growth remaining around 5%.</w:t>
      </w:r>
    </w:p>
    <w:p>
      <w:pPr>
        <w:pStyle w:val="Compact"/>
        <w:numPr>
          <w:ilvl w:val="0"/>
          <w:numId w:val="1002"/>
        </w:numPr>
      </w:pPr>
      <w:r>
        <w:t xml:space="preserve">Occupancy staying in the mid-96% range without increased concessions.</w:t>
      </w:r>
    </w:p>
    <w:p>
      <w:pPr>
        <w:pStyle w:val="Compact"/>
        <w:numPr>
          <w:ilvl w:val="0"/>
          <w:numId w:val="1002"/>
        </w:numPr>
      </w:pPr>
      <w:r>
        <w:t xml:space="preserve">Continued improvement in bad debt and resident retention.</w:t>
      </w:r>
    </w:p>
    <w:p>
      <w:pPr>
        <w:pStyle w:val="FirstParagraph"/>
      </w:pPr>
      <w:r>
        <w:t xml:space="preserve">A strong blended number driven only by renewals would be acceptable, but less compelling than broad improvement in both new and renewal leases.</w:t>
      </w:r>
    </w:p>
    <w:p>
      <w:r>
        <w:pict>
          <v:rect style="width:0;height:1.5pt" o:hralign="center" o:hrstd="t" o:hr="t"/>
        </w:pict>
      </w:r>
    </w:p>
    <w:bookmarkEnd w:id="12"/>
    <w:bookmarkStart w:id="17" w:name="market-divergence-remains-critical"/>
    <w:p>
      <w:pPr>
        <w:pStyle w:val="Heading2"/>
      </w:pPr>
      <w:r>
        <w:t xml:space="preserve">Market divergence remains critical</w:t>
      </w:r>
    </w:p>
    <w:p>
      <w:pPr>
        <w:pStyle w:val="FirstParagraph"/>
      </w:pPr>
      <w:r>
        <w:t xml:space="preserve">EQR’s Q1 results were carried by</w:t>
      </w:r>
      <w:r>
        <w:t xml:space="preserve"> </w:t>
      </w:r>
      <w:r>
        <w:rPr>
          <w:b/>
          <w:bCs/>
        </w:rPr>
        <w:t xml:space="preserve">San Francisco and New York</w:t>
      </w:r>
      <w:r>
        <w:t xml:space="preserve">, which together represented roughly 30% of portfolio NOI. Both markets benefited from strong high-income renter demand and very limited new apartment deliveries. San Francisco same-store residential revenue grew</w:t>
      </w:r>
      <w:r>
        <w:t xml:space="preserve"> </w:t>
      </w:r>
      <w:r>
        <w:rPr>
          <w:b/>
          <w:bCs/>
        </w:rPr>
        <w:t xml:space="preserve">6.5%</w:t>
      </w:r>
      <w:r>
        <w:t xml:space="preserve"> </w:t>
      </w:r>
      <w:r>
        <w:t xml:space="preserve">in Q1, while New York grew</w:t>
      </w:r>
      <w:r>
        <w:t xml:space="preserve"> </w:t>
      </w:r>
      <w:r>
        <w:rPr>
          <w:b/>
          <w:bCs/>
        </w:rPr>
        <w:t xml:space="preserve">4.6%</w:t>
      </w:r>
      <w:r>
        <w:t xml:space="preserve">. (</w:t>
      </w:r>
      <w:hyperlink r:id="rId13">
        <w:r>
          <w:rPr>
            <w:rStyle w:val="Hyperlink"/>
          </w:rPr>
          <w:t xml:space="preserve">investors.equityapartments.com</w:t>
        </w:r>
      </w:hyperlink>
      <w:r>
        <w:t xml:space="preserve">)</w:t>
      </w:r>
    </w:p>
    <w:p>
      <w:pPr>
        <w:pStyle w:val="BodyText"/>
      </w:pPr>
      <w:r>
        <w:t xml:space="preserve">The Q2 presentation should reveal whether strength broadened beyond those two markets:</w:t>
      </w:r>
    </w:p>
    <w:bookmarkStart w:id="14" w:name="markets-that-should-remain-strong"/>
    <w:p>
      <w:pPr>
        <w:pStyle w:val="Heading3"/>
      </w:pPr>
      <w:r>
        <w:t xml:space="preserve">Markets that should remain strong</w:t>
      </w:r>
    </w:p>
    <w:p>
      <w:pPr>
        <w:pStyle w:val="Compact"/>
        <w:numPr>
          <w:ilvl w:val="0"/>
          <w:numId w:val="1003"/>
        </w:numPr>
      </w:pPr>
      <w:r>
        <w:rPr>
          <w:b/>
          <w:bCs/>
        </w:rPr>
        <w:t xml:space="preserve">San Francisco:</w:t>
      </w:r>
      <w:r>
        <w:t xml:space="preserve"> </w:t>
      </w:r>
      <w:r>
        <w:t xml:space="preserve">EQR’s best market entering Q2, supported by AI-related employment, office leasing and virtually no competitive 2026 supply.</w:t>
      </w:r>
    </w:p>
    <w:p>
      <w:pPr>
        <w:pStyle w:val="Compact"/>
        <w:numPr>
          <w:ilvl w:val="0"/>
          <w:numId w:val="1003"/>
        </w:numPr>
      </w:pPr>
      <w:r>
        <w:rPr>
          <w:b/>
          <w:bCs/>
        </w:rPr>
        <w:t xml:space="preserve">New York:</w:t>
      </w:r>
      <w:r>
        <w:t xml:space="preserve"> </w:t>
      </w:r>
      <w:r>
        <w:t xml:space="preserve">Strong financial-sector employment, high occupancy and minimal new competitive deliveries.</w:t>
      </w:r>
    </w:p>
    <w:bookmarkEnd w:id="14"/>
    <w:bookmarkStart w:id="15" w:name="markets-needing-improvement"/>
    <w:p>
      <w:pPr>
        <w:pStyle w:val="Heading3"/>
      </w:pPr>
      <w:r>
        <w:t xml:space="preserve">Markets needing improvement</w:t>
      </w:r>
    </w:p>
    <w:p>
      <w:pPr>
        <w:pStyle w:val="Compact"/>
        <w:numPr>
          <w:ilvl w:val="0"/>
          <w:numId w:val="1004"/>
        </w:numPr>
      </w:pPr>
      <w:r>
        <w:rPr>
          <w:b/>
          <w:bCs/>
        </w:rPr>
        <w:t xml:space="preserve">Seattle:</w:t>
      </w:r>
      <w:r>
        <w:t xml:space="preserve"> </w:t>
      </w:r>
      <w:r>
        <w:t xml:space="preserve">Started the year below expectations and was still absorbing 2025 supply. Bellevue/Redmond appeared healthier than downtown Seattle.</w:t>
      </w:r>
    </w:p>
    <w:p>
      <w:pPr>
        <w:pStyle w:val="Compact"/>
        <w:numPr>
          <w:ilvl w:val="0"/>
          <w:numId w:val="1004"/>
        </w:numPr>
      </w:pPr>
      <w:r>
        <w:rPr>
          <w:b/>
          <w:bCs/>
        </w:rPr>
        <w:t xml:space="preserve">Boston:</w:t>
      </w:r>
      <w:r>
        <w:t xml:space="preserve"> </w:t>
      </w:r>
      <w:r>
        <w:t xml:space="preserve">Weather and weakness in the life-sciences ecosystem hurt the Q1 start.</w:t>
      </w:r>
    </w:p>
    <w:p>
      <w:pPr>
        <w:pStyle w:val="Compact"/>
        <w:numPr>
          <w:ilvl w:val="0"/>
          <w:numId w:val="1004"/>
        </w:numPr>
      </w:pPr>
      <w:r>
        <w:rPr>
          <w:b/>
          <w:bCs/>
        </w:rPr>
        <w:t xml:space="preserve">Washington, D.C.:</w:t>
      </w:r>
      <w:r>
        <w:t xml:space="preserve"> </w:t>
      </w:r>
      <w:r>
        <w:t xml:space="preserve">New deliveries are falling sharply, but employment and consumer confidence remained soft.</w:t>
      </w:r>
    </w:p>
    <w:p>
      <w:pPr>
        <w:pStyle w:val="Compact"/>
        <w:numPr>
          <w:ilvl w:val="0"/>
          <w:numId w:val="1004"/>
        </w:numPr>
      </w:pPr>
      <w:r>
        <w:rPr>
          <w:b/>
          <w:bCs/>
        </w:rPr>
        <w:t xml:space="preserve">Los Angeles:</w:t>
      </w:r>
      <w:r>
        <w:t xml:space="preserve"> </w:t>
      </w:r>
      <w:r>
        <w:t xml:space="preserve">Stable but lacking a strong employment catalyst, particularly given entertainment-industry weakness.</w:t>
      </w:r>
    </w:p>
    <w:bookmarkEnd w:id="15"/>
    <w:bookmarkStart w:id="16" w:name="recovery-markets"/>
    <w:p>
      <w:pPr>
        <w:pStyle w:val="Heading3"/>
      </w:pPr>
      <w:r>
        <w:t xml:space="preserve">Recovery markets</w:t>
      </w:r>
    </w:p>
    <w:p>
      <w:pPr>
        <w:pStyle w:val="Compact"/>
        <w:numPr>
          <w:ilvl w:val="0"/>
          <w:numId w:val="1005"/>
        </w:numPr>
      </w:pPr>
      <w:r>
        <w:rPr>
          <w:b/>
          <w:bCs/>
        </w:rPr>
        <w:t xml:space="preserve">Atlanta:</w:t>
      </w:r>
      <w:r>
        <w:t xml:space="preserve"> </w:t>
      </w:r>
      <w:r>
        <w:t xml:space="preserve">The most promising of EQR’s newer markets; management said it could produce slightly positive 2026 revenue growth.</w:t>
      </w:r>
    </w:p>
    <w:p>
      <w:pPr>
        <w:pStyle w:val="Compact"/>
        <w:numPr>
          <w:ilvl w:val="0"/>
          <w:numId w:val="1005"/>
        </w:numPr>
      </w:pPr>
      <w:r>
        <w:rPr>
          <w:b/>
          <w:bCs/>
        </w:rPr>
        <w:t xml:space="preserve">Dallas and Denver:</w:t>
      </w:r>
      <w:r>
        <w:t xml:space="preserve"> </w:t>
      </w:r>
      <w:r>
        <w:t xml:space="preserve">Showing early signs of stabilization as concessions and supply pressure decline.</w:t>
      </w:r>
    </w:p>
    <w:p>
      <w:pPr>
        <w:pStyle w:val="Compact"/>
        <w:numPr>
          <w:ilvl w:val="0"/>
          <w:numId w:val="1005"/>
        </w:numPr>
      </w:pPr>
      <w:r>
        <w:rPr>
          <w:b/>
          <w:bCs/>
        </w:rPr>
        <w:t xml:space="preserve">Austin:</w:t>
      </w:r>
      <w:r>
        <w:t xml:space="preserve"> </w:t>
      </w:r>
      <w:r>
        <w:t xml:space="preserve">Likely to remain the laggard because of continued supply overhang.</w:t>
      </w:r>
    </w:p>
    <w:p>
      <w:pPr>
        <w:pStyle w:val="FirstParagraph"/>
      </w:pPr>
      <w:r>
        <w:t xml:space="preserve">Investors should look for reduced concessions in Seattle, D.C. and EQR’s expansion markets. Concession reduction usually precedes an improvement in headline rents and same-store revenue.</w:t>
      </w:r>
    </w:p>
    <w:p>
      <w:r>
        <w:pict>
          <v:rect style="width:0;height:1.5pt" o:hralign="center" o:hrstd="t" o:hr="t"/>
        </w:pict>
      </w:r>
    </w:p>
    <w:bookmarkEnd w:id="16"/>
    <w:bookmarkEnd w:id="17"/>
    <w:bookmarkStart w:id="18" w:name="X27b7df002612dd0da1ca858c53fce7951817f52"/>
    <w:p>
      <w:pPr>
        <w:pStyle w:val="Heading2"/>
      </w:pPr>
      <w:r>
        <w:t xml:space="preserve">Same-store NOI: revenue should improve, but expenses are the swing factor</w:t>
      </w:r>
    </w:p>
    <w:p>
      <w:pPr>
        <w:pStyle w:val="FirstParagraph"/>
      </w:pPr>
      <w:r>
        <w:t xml:space="preserve">Q1 same-store revenue grew</w:t>
      </w:r>
      <w:r>
        <w:t xml:space="preserve"> </w:t>
      </w:r>
      <w:r>
        <w:rPr>
          <w:b/>
          <w:bCs/>
        </w:rPr>
        <w:t xml:space="preserve">2.2%</w:t>
      </w:r>
      <w:r>
        <w:t xml:space="preserve">, expenses increased</w:t>
      </w:r>
      <w:r>
        <w:t xml:space="preserve"> </w:t>
      </w:r>
      <w:r>
        <w:rPr>
          <w:b/>
          <w:bCs/>
        </w:rPr>
        <w:t xml:space="preserve">3.7%</w:t>
      </w:r>
      <w:r>
        <w:t xml:space="preserve">, and NOI rose only</w:t>
      </w:r>
      <w:r>
        <w:t xml:space="preserve"> </w:t>
      </w:r>
      <w:r>
        <w:rPr>
          <w:b/>
          <w:bCs/>
        </w:rPr>
        <w:t xml:space="preserve">1.4%</w:t>
      </w:r>
      <w:r>
        <w:t xml:space="preserve">. The company nevertheless maintained its full-year assumptions:</w:t>
      </w:r>
    </w:p>
    <w:p>
      <w:pPr>
        <w:pStyle w:val="Compact"/>
        <w:numPr>
          <w:ilvl w:val="0"/>
          <w:numId w:val="1006"/>
        </w:numPr>
      </w:pPr>
      <w:r>
        <w:t xml:space="preserve">Revenue growth:</w:t>
      </w:r>
      <w:r>
        <w:t xml:space="preserve"> </w:t>
      </w:r>
      <w:r>
        <w:rPr>
          <w:b/>
          <w:bCs/>
        </w:rPr>
        <w:t xml:space="preserve">1.2%–3.2%</w:t>
      </w:r>
    </w:p>
    <w:p>
      <w:pPr>
        <w:pStyle w:val="Compact"/>
        <w:numPr>
          <w:ilvl w:val="0"/>
          <w:numId w:val="1006"/>
        </w:numPr>
      </w:pPr>
      <w:r>
        <w:t xml:space="preserve">Expense growth:</w:t>
      </w:r>
      <w:r>
        <w:t xml:space="preserve"> </w:t>
      </w:r>
      <w:r>
        <w:rPr>
          <w:b/>
          <w:bCs/>
        </w:rPr>
        <w:t xml:space="preserve">3.0%–4.0%</w:t>
      </w:r>
    </w:p>
    <w:p>
      <w:pPr>
        <w:pStyle w:val="Compact"/>
        <w:numPr>
          <w:ilvl w:val="0"/>
          <w:numId w:val="1006"/>
        </w:numPr>
      </w:pPr>
      <w:r>
        <w:t xml:space="preserve">NOI growth:</w:t>
      </w:r>
      <w:r>
        <w:t xml:space="preserve"> </w:t>
      </w:r>
      <w:r>
        <w:rPr>
          <w:b/>
          <w:bCs/>
        </w:rPr>
        <w:t xml:space="preserve">0.5%–2.5%</w:t>
      </w:r>
    </w:p>
    <w:p>
      <w:pPr>
        <w:pStyle w:val="Compact"/>
        <w:numPr>
          <w:ilvl w:val="0"/>
          <w:numId w:val="1006"/>
        </w:numPr>
      </w:pPr>
      <w:r>
        <w:t xml:space="preserve">Physical occupancy:</w:t>
      </w:r>
      <w:r>
        <w:t xml:space="preserve"> </w:t>
      </w:r>
      <w:r>
        <w:rPr>
          <w:b/>
          <w:bCs/>
        </w:rPr>
        <w:t xml:space="preserve">96.4%</w:t>
      </w:r>
    </w:p>
    <w:p>
      <w:pPr>
        <w:pStyle w:val="FirstParagraph"/>
      </w:pPr>
      <w:r>
        <w:t xml:space="preserve">Street estimates imply Q2 improvement to approximately</w:t>
      </w:r>
      <w:r>
        <w:t xml:space="preserve"> </w:t>
      </w:r>
      <w:r>
        <w:rPr>
          <w:b/>
          <w:bCs/>
        </w:rPr>
        <w:t xml:space="preserve">2.6% same-store revenue growth</w:t>
      </w:r>
      <w:r>
        <w:t xml:space="preserve"> </w:t>
      </w:r>
      <w:r>
        <w:t xml:space="preserve">and</w:t>
      </w:r>
      <w:r>
        <w:t xml:space="preserve"> </w:t>
      </w:r>
      <w:r>
        <w:rPr>
          <w:b/>
          <w:bCs/>
        </w:rPr>
        <w:t xml:space="preserve">2.2% NOI growth</w:t>
      </w:r>
      <w:r>
        <w:t xml:space="preserve">. (</w:t>
      </w:r>
      <w:hyperlink r:id="rId10">
        <w:r>
          <w:rPr>
            <w:rStyle w:val="Hyperlink"/>
          </w:rPr>
          <w:t xml:space="preserve">zacks.com</w:t>
        </w:r>
      </w:hyperlink>
      <w:r>
        <w:t xml:space="preserve">)</w:t>
      </w:r>
    </w:p>
    <w:p>
      <w:pPr>
        <w:pStyle w:val="BodyText"/>
      </w:pPr>
      <w:r>
        <w:t xml:space="preserve">The expense breakdown deserves close attention. In Q1:</w:t>
      </w:r>
    </w:p>
    <w:p>
      <w:pPr>
        <w:pStyle w:val="Compact"/>
        <w:numPr>
          <w:ilvl w:val="0"/>
          <w:numId w:val="1007"/>
        </w:numPr>
      </w:pPr>
      <w:r>
        <w:t xml:space="preserve">Utilities increased</w:t>
      </w:r>
      <w:r>
        <w:t xml:space="preserve"> </w:t>
      </w:r>
      <w:r>
        <w:rPr>
          <w:b/>
          <w:bCs/>
        </w:rPr>
        <w:t xml:space="preserve">6.7%</w:t>
      </w:r>
      <w:r>
        <w:t xml:space="preserve">.</w:t>
      </w:r>
    </w:p>
    <w:p>
      <w:pPr>
        <w:pStyle w:val="Compact"/>
        <w:numPr>
          <w:ilvl w:val="0"/>
          <w:numId w:val="1007"/>
        </w:numPr>
      </w:pPr>
      <w:r>
        <w:t xml:space="preserve">Repairs and maintenance increased</w:t>
      </w:r>
      <w:r>
        <w:t xml:space="preserve"> </w:t>
      </w:r>
      <w:r>
        <w:rPr>
          <w:b/>
          <w:bCs/>
        </w:rPr>
        <w:t xml:space="preserve">7.2%</w:t>
      </w:r>
      <w:r>
        <w:t xml:space="preserve">.</w:t>
      </w:r>
    </w:p>
    <w:p>
      <w:pPr>
        <w:pStyle w:val="Compact"/>
        <w:numPr>
          <w:ilvl w:val="0"/>
          <w:numId w:val="1007"/>
        </w:numPr>
      </w:pPr>
      <w:r>
        <w:t xml:space="preserve">Real-estate taxes increased</w:t>
      </w:r>
      <w:r>
        <w:t xml:space="preserve"> </w:t>
      </w:r>
      <w:r>
        <w:rPr>
          <w:b/>
          <w:bCs/>
        </w:rPr>
        <w:t xml:space="preserve">2.9%</w:t>
      </w:r>
      <w:r>
        <w:t xml:space="preserve">.</w:t>
      </w:r>
    </w:p>
    <w:p>
      <w:pPr>
        <w:pStyle w:val="Compact"/>
        <w:numPr>
          <w:ilvl w:val="0"/>
          <w:numId w:val="1007"/>
        </w:numPr>
      </w:pPr>
      <w:r>
        <w:t xml:space="preserve">On-site payroll increased only</w:t>
      </w:r>
      <w:r>
        <w:t xml:space="preserve"> </w:t>
      </w:r>
      <w:r>
        <w:rPr>
          <w:b/>
          <w:bCs/>
        </w:rPr>
        <w:t xml:space="preserve">0.2%</w:t>
      </w:r>
      <w:r>
        <w:t xml:space="preserve">, demonstrating benefits from centralization and operating technology.</w:t>
      </w:r>
    </w:p>
    <w:p>
      <w:pPr>
        <w:pStyle w:val="FirstParagraph"/>
      </w:pPr>
      <w:r>
        <w:t xml:space="preserve">EQR’s bulk-internet program and other resident technology initiatives raise some operating costs but generate offsetting ancillary revenue. A favorable Q2 would show expense growth staying inside the full-year range while ancillary income and rent growth produce better NOI margins.</w:t>
      </w:r>
    </w:p>
    <w:p>
      <w:r>
        <w:pict>
          <v:rect style="width:0;height:1.5pt" o:hralign="center" o:hrstd="t" o:hr="t"/>
        </w:pict>
      </w:r>
    </w:p>
    <w:bookmarkEnd w:id="18"/>
    <w:bookmarkStart w:id="21" w:name="X33aa04a52f87035653f4ad84eff68c0d23463bd"/>
    <w:p>
      <w:pPr>
        <w:pStyle w:val="Heading2"/>
      </w:pPr>
      <w:r>
        <w:t xml:space="preserve">Guidance may matter more than the quarterly beat</w:t>
      </w:r>
    </w:p>
    <w:p>
      <w:pPr>
        <w:pStyle w:val="FirstParagraph"/>
      </w:pPr>
      <w:r>
        <w:t xml:space="preserve">The midpoint of Q2 NFFO guidance is $1.00, compared with consensus of $1.01. A one-cent beat by itself is unlikely to change the investment debate.</w:t>
      </w:r>
    </w:p>
    <w:p>
      <w:pPr>
        <w:pStyle w:val="BodyText"/>
      </w:pPr>
      <w:r>
        <w:t xml:space="preserve">The more consequential issue is whether EQR revises its</w:t>
      </w:r>
      <w:r>
        <w:t xml:space="preserve"> </w:t>
      </w:r>
      <m:oMath>
        <m:r>
          <m:t>4.02</m:t>
        </m:r>
        <m:r>
          <m:rPr>
            <m:sty m:val="p"/>
          </m:rPr>
          <m:t>–</m:t>
        </m:r>
      </m:oMath>
      <w:r>
        <w:rPr>
          <w:b/>
          <w:bCs/>
        </w:rPr>
        <w:t xml:space="preserve">4.14</w:t>
      </w:r>
      <w:r>
        <w:t xml:space="preserve"> </w:t>
      </w:r>
      <w:r>
        <w:t xml:space="preserve">full-year NFFO range or its same-store assumptions. At Q1, management maintained the NFFO and operating ranges despite a better-than-expected start.</w:t>
      </w:r>
    </w:p>
    <w:bookmarkStart w:id="19" w:name="conditions-supporting-an-upward-revision"/>
    <w:p>
      <w:pPr>
        <w:pStyle w:val="Heading3"/>
      </w:pPr>
      <w:r>
        <w:t xml:space="preserve">Conditions supporting an upward revision</w:t>
      </w:r>
    </w:p>
    <w:p>
      <w:pPr>
        <w:pStyle w:val="Compact"/>
        <w:numPr>
          <w:ilvl w:val="0"/>
          <w:numId w:val="1008"/>
        </w:numPr>
      </w:pPr>
      <w:r>
        <w:t xml:space="preserve">Q2 NFFO at or above $1.02.</w:t>
      </w:r>
    </w:p>
    <w:p>
      <w:pPr>
        <w:pStyle w:val="Compact"/>
        <w:numPr>
          <w:ilvl w:val="0"/>
          <w:numId w:val="1008"/>
        </w:numPr>
      </w:pPr>
      <w:r>
        <w:t xml:space="preserve">Positive new-lease growth exiting June.</w:t>
      </w:r>
    </w:p>
    <w:p>
      <w:pPr>
        <w:pStyle w:val="Compact"/>
        <w:numPr>
          <w:ilvl w:val="0"/>
          <w:numId w:val="1008"/>
        </w:numPr>
      </w:pPr>
      <w:r>
        <w:t xml:space="preserve">Blended lease growth above approximately 3%.</w:t>
      </w:r>
    </w:p>
    <w:p>
      <w:pPr>
        <w:pStyle w:val="Compact"/>
        <w:numPr>
          <w:ilvl w:val="0"/>
          <w:numId w:val="1008"/>
        </w:numPr>
      </w:pPr>
      <w:r>
        <w:t xml:space="preserve">Expense growth below the high end of guidance.</w:t>
      </w:r>
    </w:p>
    <w:p>
      <w:pPr>
        <w:pStyle w:val="Compact"/>
        <w:numPr>
          <w:ilvl w:val="0"/>
          <w:numId w:val="1008"/>
        </w:numPr>
      </w:pPr>
      <w:r>
        <w:t xml:space="preserve">San Francisco and New York strength broadening to Seattle, D.C. or Atlanta.</w:t>
      </w:r>
    </w:p>
    <w:p>
      <w:pPr>
        <w:pStyle w:val="Compact"/>
        <w:numPr>
          <w:ilvl w:val="0"/>
          <w:numId w:val="1008"/>
        </w:numPr>
      </w:pPr>
      <w:r>
        <w:t xml:space="preserve">Lower interest expense or better lease-up NOI.</w:t>
      </w:r>
    </w:p>
    <w:bookmarkEnd w:id="19"/>
    <w:bookmarkStart w:id="20" w:name="Xbf05fc84cd0783db82d0fc9945cae56bdf346ee"/>
    <w:p>
      <w:pPr>
        <w:pStyle w:val="Heading3"/>
      </w:pPr>
      <w:r>
        <w:t xml:space="preserve">Reasons management may remain conservative</w:t>
      </w:r>
    </w:p>
    <w:p>
      <w:pPr>
        <w:pStyle w:val="Compact"/>
        <w:numPr>
          <w:ilvl w:val="0"/>
          <w:numId w:val="1009"/>
        </w:numPr>
      </w:pPr>
      <w:r>
        <w:t xml:space="preserve">The pending merger reduces the importance of standalone long-range guidance.</w:t>
      </w:r>
    </w:p>
    <w:p>
      <w:pPr>
        <w:pStyle w:val="Compact"/>
        <w:numPr>
          <w:ilvl w:val="0"/>
          <w:numId w:val="1009"/>
        </w:numPr>
      </w:pPr>
      <w:r>
        <w:t xml:space="preserve">Los Angeles, Boston and Seattle entered Q2 with weak demand signals.</w:t>
      </w:r>
    </w:p>
    <w:p>
      <w:pPr>
        <w:pStyle w:val="Compact"/>
        <w:numPr>
          <w:ilvl w:val="0"/>
          <w:numId w:val="1009"/>
        </w:numPr>
      </w:pPr>
      <w:r>
        <w:t xml:space="preserve">Utilities and repairs remain potential expense pressures.</w:t>
      </w:r>
    </w:p>
    <w:p>
      <w:pPr>
        <w:pStyle w:val="Compact"/>
        <w:numPr>
          <w:ilvl w:val="0"/>
          <w:numId w:val="1009"/>
        </w:numPr>
      </w:pPr>
      <w:r>
        <w:t xml:space="preserve">Management previously expected much of the concession improvement to occur in the second half, leaving execution risk.</w:t>
      </w:r>
    </w:p>
    <w:p>
      <w:pPr>
        <w:pStyle w:val="FirstParagraph"/>
      </w:pPr>
      <w:r>
        <w:t xml:space="preserve">A guidance maintenance accompanied by strengthening June and July leasing data could still be viewed positively.</w:t>
      </w:r>
    </w:p>
    <w:p>
      <w:r>
        <w:pict>
          <v:rect style="width:0;height:1.5pt" o:hralign="center" o:hrstd="t" o:hr="t"/>
        </w:pict>
      </w:r>
    </w:p>
    <w:bookmarkEnd w:id="20"/>
    <w:bookmarkEnd w:id="21"/>
    <w:bookmarkStart w:id="24" w:name="Xf0e12d0edf873bcd6af8f7c89c89a439e684fab"/>
    <w:p>
      <w:pPr>
        <w:pStyle w:val="Heading2"/>
      </w:pPr>
      <w:r>
        <w:t xml:space="preserve">The AvalonBay merger now frames the investment case</w:t>
      </w:r>
    </w:p>
    <w:p>
      <w:pPr>
        <w:pStyle w:val="FirstParagraph"/>
      </w:pPr>
      <w:r>
        <w:t xml:space="preserve">EQR and AvalonBay announced an all-stock merger of equals in May. AvalonBay holders will receive</w:t>
      </w:r>
      <w:r>
        <w:t xml:space="preserve"> </w:t>
      </w:r>
      <w:r>
        <w:rPr>
          <w:b/>
          <w:bCs/>
        </w:rPr>
        <w:t xml:space="preserve">2.793 EQR shares for each AVB share</w:t>
      </w:r>
      <w:r>
        <w:t xml:space="preserve">, leaving legacy AVB investors with approximately 51.2% of the combined company and legacy EQR investors with 48.8%. The resulting company is expected to own more than 180,000 apartments and have a pro forma enterprise value of approximately $69 billion. (</w:t>
      </w:r>
      <w:hyperlink r:id="rId22">
        <w:r>
          <w:rPr>
            <w:rStyle w:val="Hyperlink"/>
          </w:rPr>
          <w:t xml:space="preserve">investors.equityapartments.com</w:t>
        </w:r>
      </w:hyperlink>
      <w:r>
        <w:t xml:space="preserve">)</w:t>
      </w:r>
    </w:p>
    <w:p>
      <w:pPr>
        <w:pStyle w:val="BodyText"/>
      </w:pPr>
      <w:r>
        <w:t xml:space="preserve">The companies are targeting:</w:t>
      </w:r>
    </w:p>
    <w:p>
      <w:pPr>
        <w:pStyle w:val="Compact"/>
        <w:numPr>
          <w:ilvl w:val="0"/>
          <w:numId w:val="1010"/>
        </w:numPr>
      </w:pPr>
      <w:r>
        <w:rPr>
          <w:b/>
          <w:bCs/>
        </w:rPr>
        <w:t xml:space="preserve">$175 million of gross operating synergies</w:t>
      </w:r>
    </w:p>
    <w:p>
      <w:pPr>
        <w:pStyle w:val="Compact"/>
        <w:numPr>
          <w:ilvl w:val="0"/>
          <w:numId w:val="1010"/>
        </w:numPr>
      </w:pPr>
      <w:r>
        <w:rPr>
          <w:b/>
          <w:bCs/>
        </w:rPr>
        <w:t xml:space="preserve">$125 million of annual net operating synergies</w:t>
      </w:r>
    </w:p>
    <w:p>
      <w:pPr>
        <w:pStyle w:val="Compact"/>
        <w:numPr>
          <w:ilvl w:val="0"/>
          <w:numId w:val="1010"/>
        </w:numPr>
      </w:pPr>
      <w:r>
        <w:t xml:space="preserve">Achievement within</w:t>
      </w:r>
      <w:r>
        <w:t xml:space="preserve"> </w:t>
      </w:r>
      <w:r>
        <w:rPr>
          <w:b/>
          <w:bCs/>
        </w:rPr>
        <w:t xml:space="preserve">18 months of closing</w:t>
      </w:r>
    </w:p>
    <w:p>
      <w:pPr>
        <w:pStyle w:val="Compact"/>
        <w:numPr>
          <w:ilvl w:val="0"/>
          <w:numId w:val="1010"/>
        </w:numPr>
      </w:pPr>
      <w:r>
        <w:t xml:space="preserve">Accretion to both companies’ standalone core FFO</w:t>
      </w:r>
    </w:p>
    <w:p>
      <w:pPr>
        <w:pStyle w:val="Compact"/>
        <w:numPr>
          <w:ilvl w:val="0"/>
          <w:numId w:val="1010"/>
        </w:numPr>
      </w:pPr>
      <w:r>
        <w:t xml:space="preserve">Closing during the</w:t>
      </w:r>
      <w:r>
        <w:t xml:space="preserve"> </w:t>
      </w:r>
      <w:r>
        <w:rPr>
          <w:b/>
          <w:bCs/>
        </w:rPr>
        <w:t xml:space="preserve">second half of 2026</w:t>
      </w:r>
      <w:r>
        <w:t xml:space="preserve"> </w:t>
      </w:r>
      <w:r>
        <w:t xml:space="preserve">(</w:t>
      </w:r>
      <w:hyperlink r:id="rId23">
        <w:r>
          <w:rPr>
            <w:rStyle w:val="Hyperlink"/>
          </w:rPr>
          <w:t xml:space="preserve">sec.gov</w:t>
        </w:r>
      </w:hyperlink>
      <w:r>
        <w:t xml:space="preserve">)</w:t>
      </w:r>
    </w:p>
    <w:p>
      <w:pPr>
        <w:pStyle w:val="FirstParagraph"/>
      </w:pPr>
      <w:r>
        <w:t xml:space="preserve">Because there is no earnings call, the Q2 presentation may provide only limited merger commentary. Still, investors should watch for:</w:t>
      </w:r>
    </w:p>
    <w:p>
      <w:pPr>
        <w:pStyle w:val="Compact"/>
        <w:numPr>
          <w:ilvl w:val="0"/>
          <w:numId w:val="1011"/>
        </w:numPr>
      </w:pPr>
      <w:r>
        <w:t xml:space="preserve">Any change in expected closing timing.</w:t>
      </w:r>
    </w:p>
    <w:p>
      <w:pPr>
        <w:pStyle w:val="Compact"/>
        <w:numPr>
          <w:ilvl w:val="0"/>
          <w:numId w:val="1011"/>
        </w:numPr>
      </w:pPr>
      <w:r>
        <w:t xml:space="preserve">Updated transaction or integration costs.</w:t>
      </w:r>
    </w:p>
    <w:p>
      <w:pPr>
        <w:pStyle w:val="Compact"/>
        <w:numPr>
          <w:ilvl w:val="0"/>
          <w:numId w:val="1011"/>
        </w:numPr>
      </w:pPr>
      <w:r>
        <w:t xml:space="preserve">Greater detail on the $125 million net synergy target.</w:t>
      </w:r>
    </w:p>
    <w:p>
      <w:pPr>
        <w:pStyle w:val="Compact"/>
        <w:numPr>
          <w:ilvl w:val="0"/>
          <w:numId w:val="1011"/>
        </w:numPr>
      </w:pPr>
      <w:r>
        <w:t xml:space="preserve">Evidence that management distraction has not affected leasing or expense control.</w:t>
      </w:r>
    </w:p>
    <w:p>
      <w:pPr>
        <w:pStyle w:val="Compact"/>
        <w:numPr>
          <w:ilvl w:val="0"/>
          <w:numId w:val="1011"/>
        </w:numPr>
      </w:pPr>
      <w:r>
        <w:t xml:space="preserve">Changes to development, disposition or financing plans during the pre-closing period.</w:t>
      </w:r>
    </w:p>
    <w:p>
      <w:pPr>
        <w:pStyle w:val="Compact"/>
        <w:numPr>
          <w:ilvl w:val="0"/>
          <w:numId w:val="1011"/>
        </w:numPr>
      </w:pPr>
      <w:r>
        <w:t xml:space="preserve">Confirmation of the dividend framework.</w:t>
      </w:r>
    </w:p>
    <w:p>
      <w:pPr>
        <w:pStyle w:val="FirstParagraph"/>
      </w:pPr>
      <w:r>
        <w:t xml:space="preserve">At July 21 closing prices, AVB traded almost exactly in line with the fixed 2.793 exchange ratio. That indicates little apparent deal spread and means EQR and AVB shares are already trading largely as a combined-company pair.</w:t>
      </w:r>
    </w:p>
    <w:p>
      <w:r>
        <w:pict>
          <v:rect style="width:0;height:1.5pt" o:hralign="center" o:hrstd="t" o:hr="t"/>
        </w:pict>
      </w:r>
    </w:p>
    <w:bookmarkEnd w:id="24"/>
    <w:bookmarkStart w:id="25" w:name="balance-sheet-and-capital-allocation"/>
    <w:p>
      <w:pPr>
        <w:pStyle w:val="Heading2"/>
      </w:pPr>
      <w:r>
        <w:t xml:space="preserve">Balance sheet and capital allocation</w:t>
      </w:r>
    </w:p>
    <w:p>
      <w:pPr>
        <w:pStyle w:val="FirstParagraph"/>
      </w:pPr>
      <w:r>
        <w:t xml:space="preserve">EQR ended Q1 with:</w:t>
      </w:r>
    </w:p>
    <w:p>
      <w:pPr>
        <w:pStyle w:val="Compact"/>
        <w:numPr>
          <w:ilvl w:val="0"/>
          <w:numId w:val="1012"/>
        </w:numPr>
      </w:pPr>
      <w:r>
        <w:rPr>
          <w:b/>
          <w:bCs/>
        </w:rPr>
        <w:t xml:space="preserve">$8.34 billion</w:t>
      </w:r>
      <w:r>
        <w:t xml:space="preserve"> </w:t>
      </w:r>
      <w:r>
        <w:t xml:space="preserve">of debt.</w:t>
      </w:r>
    </w:p>
    <w:p>
      <w:pPr>
        <w:pStyle w:val="Compact"/>
        <w:numPr>
          <w:ilvl w:val="0"/>
          <w:numId w:val="1012"/>
        </w:numPr>
      </w:pPr>
      <w:r>
        <w:t xml:space="preserve">Total debt to normalized EBITDAre of</w:t>
      </w:r>
      <w:r>
        <w:t xml:space="preserve"> </w:t>
      </w:r>
      <w:r>
        <w:rPr>
          <w:b/>
          <w:bCs/>
        </w:rPr>
        <w:t xml:space="preserve">4.38x</w:t>
      </w:r>
      <w:r>
        <w:t xml:space="preserve">.</w:t>
      </w:r>
    </w:p>
    <w:p>
      <w:pPr>
        <w:pStyle w:val="Compact"/>
        <w:numPr>
          <w:ilvl w:val="0"/>
          <w:numId w:val="1012"/>
        </w:numPr>
      </w:pPr>
      <w:r>
        <w:t xml:space="preserve">A</w:t>
      </w:r>
      <w:r>
        <w:t xml:space="preserve"> </w:t>
      </w:r>
      <w:r>
        <w:rPr>
          <w:b/>
          <w:bCs/>
        </w:rPr>
        <w:t xml:space="preserve">3.78%</w:t>
      </w:r>
      <w:r>
        <w:t xml:space="preserve"> </w:t>
      </w:r>
      <w:r>
        <w:t xml:space="preserve">weighted-average debt rate.</w:t>
      </w:r>
    </w:p>
    <w:p>
      <w:pPr>
        <w:pStyle w:val="Compact"/>
        <w:numPr>
          <w:ilvl w:val="0"/>
          <w:numId w:val="1012"/>
        </w:numPr>
      </w:pPr>
      <w:r>
        <w:t xml:space="preserve">Approximately</w:t>
      </w:r>
      <w:r>
        <w:t xml:space="preserve"> </w:t>
      </w:r>
      <w:r>
        <w:rPr>
          <w:b/>
          <w:bCs/>
        </w:rPr>
        <w:t xml:space="preserve">89% fixed-rate debt</w:t>
      </w:r>
      <w:r>
        <w:t xml:space="preserve">.</w:t>
      </w:r>
    </w:p>
    <w:p>
      <w:pPr>
        <w:pStyle w:val="Compact"/>
        <w:numPr>
          <w:ilvl w:val="0"/>
          <w:numId w:val="1012"/>
        </w:numPr>
      </w:pPr>
      <w:r>
        <w:t xml:space="preserve">$165 million of planned 2026 dispositions.</w:t>
      </w:r>
    </w:p>
    <w:p>
      <w:pPr>
        <w:pStyle w:val="FirstParagraph"/>
      </w:pPr>
      <w:r>
        <w:t xml:space="preserve">The company also repurchased approximately</w:t>
      </w:r>
      <w:r>
        <w:t xml:space="preserve"> </w:t>
      </w:r>
      <w:r>
        <w:rPr>
          <w:b/>
          <w:bCs/>
        </w:rPr>
        <w:t xml:space="preserve">3.5 million shares</w:t>
      </w:r>
      <w:r>
        <w:t xml:space="preserve"> </w:t>
      </w:r>
      <w:r>
        <w:t xml:space="preserve">in Q1 at an average price of</w:t>
      </w:r>
      <w:r>
        <w:t xml:space="preserve"> </w:t>
      </w:r>
      <w:r>
        <w:rPr>
          <w:b/>
          <w:bCs/>
        </w:rPr>
        <w:t xml:space="preserve">$63.42</w:t>
      </w:r>
      <w:r>
        <w:t xml:space="preserve">, spending about $219 million. Since EQR now trades above that repurchase price and is subject to merger-agreement operating restrictions, additional buybacks are no longer the central capital-allocation catalyst.</w:t>
      </w:r>
    </w:p>
    <w:p>
      <w:pPr>
        <w:pStyle w:val="BodyText"/>
      </w:pPr>
      <w:r>
        <w:t xml:space="preserve">Investors should instead focus on:</w:t>
      </w:r>
    </w:p>
    <w:p>
      <w:pPr>
        <w:pStyle w:val="Compact"/>
        <w:numPr>
          <w:ilvl w:val="0"/>
          <w:numId w:val="1013"/>
        </w:numPr>
      </w:pPr>
      <w:r>
        <w:t xml:space="preserve">Completion and pricing of planned dispositions.</w:t>
      </w:r>
    </w:p>
    <w:p>
      <w:pPr>
        <w:pStyle w:val="Compact"/>
        <w:numPr>
          <w:ilvl w:val="0"/>
          <w:numId w:val="1013"/>
        </w:numPr>
      </w:pPr>
      <w:r>
        <w:t xml:space="preserve">Any debt issued to refinance 2026 maturities.</w:t>
      </w:r>
    </w:p>
    <w:p>
      <w:pPr>
        <w:pStyle w:val="Compact"/>
        <w:numPr>
          <w:ilvl w:val="0"/>
          <w:numId w:val="1013"/>
        </w:numPr>
      </w:pPr>
      <w:r>
        <w:t xml:space="preserve">Changes in leverage associated with merger preparation.</w:t>
      </w:r>
    </w:p>
    <w:p>
      <w:pPr>
        <w:pStyle w:val="Compact"/>
        <w:numPr>
          <w:ilvl w:val="0"/>
          <w:numId w:val="1013"/>
        </w:numPr>
      </w:pPr>
      <w:r>
        <w:t xml:space="preserve">Development spending and lease-up progress, particularly at The Basin and projects in Massachusetts, Washington and Georgia.</w:t>
      </w:r>
    </w:p>
    <w:p>
      <w:r>
        <w:pict>
          <v:rect style="width:0;height:1.5pt" o:hralign="center" o:hrstd="t" o:hr="t"/>
        </w:pict>
      </w:r>
    </w:p>
    <w:bookmarkEnd w:id="25"/>
    <w:bookmarkStart w:id="29" w:name="earnings-scorecard"/>
    <w:p>
      <w:pPr>
        <w:pStyle w:val="Heading2"/>
      </w:pPr>
      <w:r>
        <w:t xml:space="preserve">Earnings scorecard</w:t>
      </w:r>
    </w:p>
    <w:bookmarkStart w:id="26" w:name="bull-case"/>
    <w:p>
      <w:pPr>
        <w:pStyle w:val="Heading3"/>
      </w:pPr>
      <w:r>
        <w:t xml:space="preserve">Bull case</w:t>
      </w:r>
    </w:p>
    <w:p>
      <w:pPr>
        <w:pStyle w:val="Compact"/>
        <w:numPr>
          <w:ilvl w:val="0"/>
          <w:numId w:val="1014"/>
        </w:numPr>
      </w:pPr>
      <w:r>
        <w:t xml:space="preserve">NFFO of</w:t>
      </w:r>
      <w:r>
        <w:t xml:space="preserve"> </w:t>
      </w:r>
      <w:r>
        <w:rPr>
          <w:b/>
          <w:bCs/>
        </w:rPr>
        <w:t xml:space="preserve">$1.02 or better</w:t>
      </w:r>
      <w:r>
        <w:t xml:space="preserve">.</w:t>
      </w:r>
    </w:p>
    <w:p>
      <w:pPr>
        <w:pStyle w:val="Compact"/>
        <w:numPr>
          <w:ilvl w:val="0"/>
          <w:numId w:val="1014"/>
        </w:numPr>
      </w:pPr>
      <w:r>
        <w:t xml:space="preserve">Same-store NOI growth above approximately</w:t>
      </w:r>
      <w:r>
        <w:t xml:space="preserve"> </w:t>
      </w:r>
      <w:r>
        <w:rPr>
          <w:b/>
          <w:bCs/>
        </w:rPr>
        <w:t xml:space="preserve">2.5%</w:t>
      </w:r>
      <w:r>
        <w:t xml:space="preserve">.</w:t>
      </w:r>
    </w:p>
    <w:p>
      <w:pPr>
        <w:pStyle w:val="Compact"/>
        <w:numPr>
          <w:ilvl w:val="0"/>
          <w:numId w:val="1014"/>
        </w:numPr>
      </w:pPr>
      <w:r>
        <w:t xml:space="preserve">Blended lease growth above</w:t>
      </w:r>
      <w:r>
        <w:t xml:space="preserve"> </w:t>
      </w:r>
      <w:r>
        <w:rPr>
          <w:b/>
          <w:bCs/>
        </w:rPr>
        <w:t xml:space="preserve">3%</w:t>
      </w:r>
      <w:r>
        <w:t xml:space="preserve">.</w:t>
      </w:r>
    </w:p>
    <w:p>
      <w:pPr>
        <w:pStyle w:val="Compact"/>
        <w:numPr>
          <w:ilvl w:val="0"/>
          <w:numId w:val="1014"/>
        </w:numPr>
      </w:pPr>
      <w:r>
        <w:t xml:space="preserve">New-lease spreads positive exiting June.</w:t>
      </w:r>
    </w:p>
    <w:p>
      <w:pPr>
        <w:pStyle w:val="Compact"/>
        <w:numPr>
          <w:ilvl w:val="0"/>
          <w:numId w:val="1014"/>
        </w:numPr>
      </w:pPr>
      <w:r>
        <w:t xml:space="preserve">Occupancy of at least</w:t>
      </w:r>
      <w:r>
        <w:t xml:space="preserve"> </w:t>
      </w:r>
      <w:r>
        <w:rPr>
          <w:b/>
          <w:bCs/>
        </w:rPr>
        <w:t xml:space="preserve">96.5%</w:t>
      </w:r>
      <w:r>
        <w:t xml:space="preserve">.</w:t>
      </w:r>
    </w:p>
    <w:p>
      <w:pPr>
        <w:pStyle w:val="Compact"/>
        <w:numPr>
          <w:ilvl w:val="0"/>
          <w:numId w:val="1014"/>
        </w:numPr>
      </w:pPr>
      <w:r>
        <w:t xml:space="preserve">Full-year guidance raised or narrowed toward the upper half.</w:t>
      </w:r>
    </w:p>
    <w:p>
      <w:pPr>
        <w:pStyle w:val="Compact"/>
        <w:numPr>
          <w:ilvl w:val="0"/>
          <w:numId w:val="1014"/>
        </w:numPr>
      </w:pPr>
      <w:r>
        <w:t xml:space="preserve">Merger remains firmly on schedule with synergy targets reaffirmed.</w:t>
      </w:r>
    </w:p>
    <w:bookmarkEnd w:id="26"/>
    <w:bookmarkStart w:id="27" w:name="base-case"/>
    <w:p>
      <w:pPr>
        <w:pStyle w:val="Heading3"/>
      </w:pPr>
      <w:r>
        <w:t xml:space="preserve">Base case</w:t>
      </w:r>
    </w:p>
    <w:p>
      <w:pPr>
        <w:pStyle w:val="Compact"/>
        <w:numPr>
          <w:ilvl w:val="0"/>
          <w:numId w:val="1015"/>
        </w:numPr>
      </w:pPr>
      <w:r>
        <w:t xml:space="preserve">NFFO of</w:t>
      </w:r>
      <w:r>
        <w:t xml:space="preserve"> </w:t>
      </w:r>
      <m:oMath>
        <m:r>
          <m:t>1.00</m:t>
        </m:r>
        <m:r>
          <m:rPr>
            <m:sty m:val="p"/>
          </m:rPr>
          <m:t>–</m:t>
        </m:r>
      </m:oMath>
      <w:r>
        <w:rPr>
          <w:b/>
          <w:bCs/>
        </w:rPr>
        <w:t xml:space="preserve">1.01</w:t>
      </w:r>
      <w:r>
        <w:t xml:space="preserve">.</w:t>
      </w:r>
    </w:p>
    <w:p>
      <w:pPr>
        <w:pStyle w:val="Compact"/>
        <w:numPr>
          <w:ilvl w:val="0"/>
          <w:numId w:val="1015"/>
        </w:numPr>
      </w:pPr>
      <w:r>
        <w:t xml:space="preserve">Same-store NOI growth around</w:t>
      </w:r>
      <w:r>
        <w:t xml:space="preserve"> </w:t>
      </w:r>
      <w:r>
        <w:rPr>
          <w:b/>
          <w:bCs/>
        </w:rPr>
        <w:t xml:space="preserve">2%</w:t>
      </w:r>
      <w:r>
        <w:t xml:space="preserve">.</w:t>
      </w:r>
    </w:p>
    <w:p>
      <w:pPr>
        <w:pStyle w:val="Compact"/>
        <w:numPr>
          <w:ilvl w:val="0"/>
          <w:numId w:val="1015"/>
        </w:numPr>
      </w:pPr>
      <w:r>
        <w:t xml:space="preserve">Blended spreads around</w:t>
      </w:r>
      <w:r>
        <w:t xml:space="preserve"> </w:t>
      </w:r>
      <w:r>
        <w:rPr>
          <w:b/>
          <w:bCs/>
        </w:rPr>
        <w:t xml:space="preserve">2.5%–3.5%</w:t>
      </w:r>
      <w:r>
        <w:t xml:space="preserve">.</w:t>
      </w:r>
    </w:p>
    <w:p>
      <w:pPr>
        <w:pStyle w:val="Compact"/>
        <w:numPr>
          <w:ilvl w:val="0"/>
          <w:numId w:val="1015"/>
        </w:numPr>
      </w:pPr>
      <w:r>
        <w:t xml:space="preserve">New leases near flat, with renewals around 5%.</w:t>
      </w:r>
    </w:p>
    <w:p>
      <w:pPr>
        <w:pStyle w:val="Compact"/>
        <w:numPr>
          <w:ilvl w:val="0"/>
          <w:numId w:val="1015"/>
        </w:numPr>
      </w:pPr>
      <w:r>
        <w:t xml:space="preserve">Full-year guidance maintained.</w:t>
      </w:r>
    </w:p>
    <w:p>
      <w:pPr>
        <w:pStyle w:val="Compact"/>
        <w:numPr>
          <w:ilvl w:val="0"/>
          <w:numId w:val="1015"/>
        </w:numPr>
      </w:pPr>
      <w:r>
        <w:t xml:space="preserve">No material change to merger timing or economics.</w:t>
      </w:r>
    </w:p>
    <w:bookmarkEnd w:id="27"/>
    <w:bookmarkStart w:id="28" w:name="bear-case"/>
    <w:p>
      <w:pPr>
        <w:pStyle w:val="Heading3"/>
      </w:pPr>
      <w:r>
        <w:t xml:space="preserve">Bear case</w:t>
      </w:r>
    </w:p>
    <w:p>
      <w:pPr>
        <w:pStyle w:val="Compact"/>
        <w:numPr>
          <w:ilvl w:val="0"/>
          <w:numId w:val="1016"/>
        </w:numPr>
      </w:pPr>
      <w:r>
        <w:t xml:space="preserve">NFFO below</w:t>
      </w:r>
      <w:r>
        <w:t xml:space="preserve"> </w:t>
      </w:r>
      <w:r>
        <w:rPr>
          <w:b/>
          <w:bCs/>
        </w:rPr>
        <w:t xml:space="preserve">$0.98</w:t>
      </w:r>
      <w:r>
        <w:t xml:space="preserve">.</w:t>
      </w:r>
    </w:p>
    <w:p>
      <w:pPr>
        <w:pStyle w:val="Compact"/>
        <w:numPr>
          <w:ilvl w:val="0"/>
          <w:numId w:val="1016"/>
        </w:numPr>
      </w:pPr>
      <w:r>
        <w:t xml:space="preserve">New-lease spreads remain meaningfully negative.</w:t>
      </w:r>
    </w:p>
    <w:p>
      <w:pPr>
        <w:pStyle w:val="Compact"/>
        <w:numPr>
          <w:ilvl w:val="0"/>
          <w:numId w:val="1016"/>
        </w:numPr>
      </w:pPr>
      <w:r>
        <w:t xml:space="preserve">Occupancy declines or concessions rise during peak season.</w:t>
      </w:r>
    </w:p>
    <w:p>
      <w:pPr>
        <w:pStyle w:val="Compact"/>
        <w:numPr>
          <w:ilvl w:val="0"/>
          <w:numId w:val="1016"/>
        </w:numPr>
      </w:pPr>
      <w:r>
        <w:t xml:space="preserve">Expense growth exceeds 4%, compressing NOI margins.</w:t>
      </w:r>
    </w:p>
    <w:p>
      <w:pPr>
        <w:pStyle w:val="Compact"/>
        <w:numPr>
          <w:ilvl w:val="0"/>
          <w:numId w:val="1016"/>
        </w:numPr>
      </w:pPr>
      <w:r>
        <w:t xml:space="preserve">Full-year NFFO or same-store NOI guidance is reduced.</w:t>
      </w:r>
    </w:p>
    <w:p>
      <w:pPr>
        <w:pStyle w:val="Compact"/>
        <w:numPr>
          <w:ilvl w:val="0"/>
          <w:numId w:val="1016"/>
        </w:numPr>
      </w:pPr>
      <w:r>
        <w:t xml:space="preserve">New integration costs, approval complications or closing delays emerge.</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This is no longer a conventional standalone EQR earnings event. The pending AvalonBay merger means the stock will increasingly be valued on the</w:t>
      </w:r>
      <w:r>
        <w:t xml:space="preserve"> </w:t>
      </w:r>
      <w:r>
        <w:rPr>
          <w:b/>
          <w:bCs/>
        </w:rPr>
        <w:t xml:space="preserve">combined company’s earnings base, synergy realization and execution risk</w:t>
      </w:r>
      <w:r>
        <w:t xml:space="preserve">.</w:t>
      </w:r>
    </w:p>
    <w:p>
      <w:pPr>
        <w:pStyle w:val="BodyText"/>
      </w:pPr>
      <w:r>
        <w:t xml:space="preserve">For Q2 itself, the key test is whether EQR moved from Q1’s concession and occupancy improvement into genuine rental pricing power.</w:t>
      </w:r>
      <w:r>
        <w:t xml:space="preserve"> </w:t>
      </w:r>
      <w:r>
        <w:rPr>
          <w:b/>
          <w:bCs/>
        </w:rPr>
        <w:t xml:space="preserve">A $1.01 NFFO result with positive June new-lease spreads and intact or higher guidance would be a solid report.</w:t>
      </w:r>
      <w:r>
        <w:t xml:space="preserve"> </w:t>
      </w:r>
      <w:r>
        <w:t xml:space="preserve">Conversely, a headline beat accompanied by weak leasing data or elevated expense growth would be less reassuring.</w:t>
      </w:r>
    </w:p>
    <w:p>
      <w:pPr>
        <w:pStyle w:val="BodyText"/>
      </w:pPr>
      <w:r>
        <w:t xml:space="preserve">The most important figures in the release will be, in order:</w:t>
      </w:r>
    </w:p>
    <w:p>
      <w:pPr>
        <w:pStyle w:val="Compact"/>
        <w:numPr>
          <w:ilvl w:val="0"/>
          <w:numId w:val="1017"/>
        </w:numPr>
      </w:pPr>
      <w:r>
        <w:t xml:space="preserve">June/July new and blended lease-rate growth.</w:t>
      </w:r>
    </w:p>
    <w:p>
      <w:pPr>
        <w:pStyle w:val="Compact"/>
        <w:numPr>
          <w:ilvl w:val="0"/>
          <w:numId w:val="1017"/>
        </w:numPr>
      </w:pPr>
      <w:r>
        <w:t xml:space="preserve">Same-store NOI and expense growth.</w:t>
      </w:r>
    </w:p>
    <w:p>
      <w:pPr>
        <w:pStyle w:val="Compact"/>
        <w:numPr>
          <w:ilvl w:val="0"/>
          <w:numId w:val="1017"/>
        </w:numPr>
      </w:pPr>
      <w:r>
        <w:t xml:space="preserve">Full-year guidance.</w:t>
      </w:r>
    </w:p>
    <w:p>
      <w:pPr>
        <w:pStyle w:val="Compact"/>
        <w:numPr>
          <w:ilvl w:val="0"/>
          <w:numId w:val="1017"/>
        </w:numPr>
      </w:pPr>
      <w:r>
        <w:t xml:space="preserve">Market-level trends outside San Francisco and New York.</w:t>
      </w:r>
    </w:p>
    <w:p>
      <w:pPr>
        <w:pStyle w:val="Compact"/>
        <w:numPr>
          <w:ilvl w:val="0"/>
          <w:numId w:val="1017"/>
        </w:numPr>
      </w:pPr>
      <w:r>
        <w:t xml:space="preserve">Any update on merger timing, costs and synergies.</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investors.equityapartments.com/news-events/press-releases-news/news-details/2026/AvalonBay-Communities-and-Equity-Residential-Announce-Leadership-Team-for-Combined-Company/default.aspx?utm_source=openai" TargetMode="External" /><Relationship Type="http://schemas.openxmlformats.org/officeDocument/2006/relationships/hyperlink" Id="rId9" Target="https://investors.equityapartments.com/news-events/press-releases-news/news-details/2026/Equity-Residential-Announces-Second-Quarter-2026-Earnings-Release-Date/default.aspx?utm_source=openai" TargetMode="External" /><Relationship Type="http://schemas.openxmlformats.org/officeDocument/2006/relationships/hyperlink" Id="rId13" Target="https://investors.equityapartments.com/news-events/press-releases-news/news-details/2026/Equity-Residential-Reports-First-Quarter-2026-Results/default.aspx?utm_source=openai" TargetMode="External" /><Relationship Type="http://schemas.openxmlformats.org/officeDocument/2006/relationships/hyperlink" Id="rId23" Target="https://www.sec.gov/Archives/edgar/data/906107/000114036126028129/ny20076479x2_s4a.htm?utm_source=openai" TargetMode="External" /><Relationship Type="http://schemas.openxmlformats.org/officeDocument/2006/relationships/hyperlink" Id="rId10" Target="https://www.zacks.com/stock/news/2954906/equity-residential-to-post-q2-earnings-is-it-a-portfolio-must-have?utm_source=openai" TargetMode="External" /></Relationships>
</file>

<file path=word/_rels/footnotes.xml.rels><?xml version="1.0" encoding="UTF-8"?><Relationships xmlns="http://schemas.openxmlformats.org/package/2006/relationships"><Relationship Type="http://schemas.openxmlformats.org/officeDocument/2006/relationships/hyperlink" Id="rId22" Target="https://investors.equityapartments.com/news-events/press-releases-news/news-details/2026/AvalonBay-Communities-and-Equity-Residential-Announce-Leadership-Team-for-Combined-Company/default.aspx?utm_source=openai" TargetMode="External" /><Relationship Type="http://schemas.openxmlformats.org/officeDocument/2006/relationships/hyperlink" Id="rId9" Target="https://investors.equityapartments.com/news-events/press-releases-news/news-details/2026/Equity-Residential-Announces-Second-Quarter-2026-Earnings-Release-Date/default.aspx?utm_source=openai" TargetMode="External" /><Relationship Type="http://schemas.openxmlformats.org/officeDocument/2006/relationships/hyperlink" Id="rId13" Target="https://investors.equityapartments.com/news-events/press-releases-news/news-details/2026/Equity-Residential-Reports-First-Quarter-2026-Results/default.aspx?utm_source=openai" TargetMode="External" /><Relationship Type="http://schemas.openxmlformats.org/officeDocument/2006/relationships/hyperlink" Id="rId23" Target="https://www.sec.gov/Archives/edgar/data/906107/000114036126028129/ny20076479x2_s4a.htm?utm_source=openai" TargetMode="External" /><Relationship Type="http://schemas.openxmlformats.org/officeDocument/2006/relationships/hyperlink" Id="rId10" Target="https://www.zacks.com/stock/news/2954906/equity-residential-to-post-q2-earnings-is-it-a-portfolio-must-have?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2026-07-22T00:55:31Z</dcterms:created>
  <dcterms:modified xsi:type="dcterms:W3CDTF">2026-07-22T00:55:31Z</dcterms:modified>
</cp:coreProperties>
</file>

<file path=docProps/custom.xml><?xml version="1.0" encoding="utf-8"?>
<Properties xmlns="http://schemas.openxmlformats.org/officeDocument/2006/custom-properties" xmlns:vt="http://schemas.openxmlformats.org/officeDocument/2006/docPropsVTypes"/>
</file>