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84f141bf08269554f8beca59434fa8f4630c80"/>
    <w:p>
      <w:pPr>
        <w:pStyle w:val="Heading1"/>
      </w:pPr>
      <w:r>
        <w:t xml:space="preserve">Equity Residential (NYSE: EQR) — Q2 2026 Earnings Preview</w:t>
      </w:r>
    </w:p>
    <w:p>
      <w:pPr>
        <w:pStyle w:val="BlockText"/>
      </w:pPr>
      <w:r>
        <w:rPr>
          <w:b/>
          <w:bCs/>
        </w:rPr>
        <w:t xml:space="preserve">Timing note:</w:t>
      </w:r>
      <w:r>
        <w:t xml:space="preserve"> </w:t>
      </w:r>
      <w:r>
        <w:t xml:space="preserve">EQR is scheduled to report second-quarter 2026 results</w:t>
      </w:r>
      <w:r>
        <w:t xml:space="preserve"> </w:t>
      </w:r>
      <w:r>
        <w:rPr>
          <w:b/>
          <w:bCs/>
        </w:rPr>
        <w:t xml:space="preserve">after the market close on Wednesday, July 22, 2026</w:t>
      </w:r>
      <w:r>
        <w:t xml:space="preserve">—that is</w:t>
      </w:r>
      <w:r>
        <w:t xml:space="preserve"> </w:t>
      </w:r>
      <w:r>
        <w:rPr>
          <w:b/>
          <w:bCs/>
        </w:rPr>
        <w:t xml:space="preserve">today</w:t>
      </w:r>
      <w:r>
        <w:t xml:space="preserve">, rather than tomorrow. (</w:t>
      </w:r>
      <w:hyperlink r:id="rId9">
        <w:r>
          <w:rPr>
            <w:rStyle w:val="Hyperlink"/>
          </w:rPr>
          <w:t xml:space="preserve">investors.equityapartments.com</w:t>
        </w:r>
      </w:hyperlink>
      <w:r>
        <w:t xml:space="preserve">)</w:t>
      </w:r>
    </w:p>
    <w:bookmarkStart w:id="11" w:name="X4b069b84b287f7b67a511aa51f91c3715dc05b8"/>
    <w:p>
      <w:pPr>
        <w:pStyle w:val="Heading2"/>
      </w:pPr>
      <w:r>
        <w:t xml:space="preserve">Investment view: the quarter is about confirmation, not the headline FFO number</w:t>
      </w:r>
    </w:p>
    <w:p>
      <w:pPr>
        <w:pStyle w:val="FirstParagraph"/>
      </w:pPr>
      <w:r>
        <w:t xml:space="preserve">EQR enters Q2 with improving leasing momentum, especially in its high-value coastal markets, but with the stock having already appreciated into the report. The key question is whether the favorable spring setup—strong San Francisco and New York demand, falling concessions, high occupancy, and better renewal pricing—has translated into enough broad-based pricing power to support the upper half of 2026 guidance.</w:t>
      </w:r>
    </w:p>
    <w:p>
      <w:pPr>
        <w:pStyle w:val="BodyText"/>
      </w:pPr>
      <w:r>
        <w:t xml:space="preserve">The reported</w:t>
      </w:r>
      <w:r>
        <w:t xml:space="preserve"> </w:t>
      </w:r>
      <w:r>
        <w:rPr>
          <w:b/>
          <w:bCs/>
        </w:rPr>
        <w:t xml:space="preserve">normalized FFO</w:t>
      </w:r>
      <w:r>
        <w:t xml:space="preserve"> </w:t>
      </w:r>
      <w:r>
        <w:t xml:space="preserve">result should be relatively straightforward: management guided to</w:t>
      </w:r>
      <w:r>
        <w:t xml:space="preserve"> </w:t>
      </w:r>
      <m:oMath>
        <m:r>
          <m:t>0.98</m:t>
        </m:r>
        <m:r>
          <m:rPr>
            <m:sty m:val="p"/>
          </m:rPr>
          <m:t>–</m:t>
        </m:r>
      </m:oMath>
      <w:r>
        <w:rPr>
          <w:b/>
          <w:bCs/>
        </w:rPr>
        <w:t xml:space="preserve">1.02 per share</w:t>
      </w:r>
      <w:r>
        <w:t xml:space="preserve"> </w:t>
      </w:r>
      <w:r>
        <w:t xml:space="preserve">for Q2, while the published consensus estimate is</w:t>
      </w:r>
      <w:r>
        <w:t xml:space="preserve"> </w:t>
      </w:r>
      <w:r>
        <w:rPr>
          <w:b/>
          <w:bCs/>
        </w:rPr>
        <w:t xml:space="preserve">$1.01</w:t>
      </w:r>
      <w:r>
        <w:t xml:space="preserve">, near the top of that range. Therefore, an in-line result may not be sufficient; investors will likely focus more on leasing indicators, same-store NOI, and the durability of full-year guidance. (</w:t>
      </w:r>
      <w:hyperlink r:id="rId10">
        <w:r>
          <w:rPr>
            <w:rStyle w:val="Hyperlink"/>
          </w:rPr>
          <w:t xml:space="preserve">zacks.com</w:t>
        </w:r>
      </w:hyperlink>
      <w:r>
        <w:t xml:space="preserve">)</w:t>
      </w:r>
    </w:p>
    <w:p>
      <w:pPr>
        <w:pStyle w:val="BodyText"/>
      </w:pPr>
      <w:r>
        <w:t xml:space="preserve">EQR closed at</w:t>
      </w:r>
      <w:r>
        <w:t xml:space="preserve"> </w:t>
      </w:r>
      <w:r>
        <w:rPr>
          <w:b/>
          <w:bCs/>
        </w:rPr>
        <w:t xml:space="preserve">$68.31 on July 21</w:t>
      </w:r>
      <w:r>
        <w:t xml:space="preserve">, up roughly</w:t>
      </w:r>
      <w:r>
        <w:t xml:space="preserve"> </w:t>
      </w:r>
      <w:r>
        <w:rPr>
          <w:b/>
          <w:bCs/>
        </w:rPr>
        <w:t xml:space="preserve">4.9% from the April 28 Q1 earnings-release close</w:t>
      </w:r>
      <w:r>
        <w:t xml:space="preserve"> </w:t>
      </w:r>
      <w:r>
        <w:t xml:space="preserve">and about</w:t>
      </w:r>
      <w:r>
        <w:t xml:space="preserve"> </w:t>
      </w:r>
      <w:r>
        <w:rPr>
          <w:b/>
          <w:bCs/>
        </w:rPr>
        <w:t xml:space="preserve">9.6% from the day before that release</w:t>
      </w:r>
      <w:r>
        <w:t xml:space="preserve">. That rally raises the importance of a constructive second-half operating outlook.</w:t>
      </w:r>
    </w:p>
    <w:p>
      <w:r>
        <w:pict>
          <v:rect style="width:0;height:1.5pt" o:hralign="center" o:hrstd="t" o:hr="t"/>
        </w:pict>
      </w:r>
    </w:p>
    <w:bookmarkEnd w:id="11"/>
    <w:bookmarkStart w:id="17" w:name="what-matters-most"/>
    <w:p>
      <w:pPr>
        <w:pStyle w:val="Heading2"/>
      </w:pPr>
      <w:r>
        <w:t xml:space="preserve">What matters most</w:t>
      </w:r>
    </w:p>
    <w:bookmarkStart w:id="13" w:name="X17dcda1c89ff9053be813d6e6acd3998010a5f8"/>
    <w:p>
      <w:pPr>
        <w:pStyle w:val="Heading3"/>
      </w:pPr>
      <w:r>
        <w:t xml:space="preserve">1. Leasing momentum needs to convert from renewals into positive new-lease pricing</w:t>
      </w:r>
    </w:p>
    <w:p>
      <w:pPr>
        <w:pStyle w:val="FirstParagraph"/>
      </w:pPr>
      <w:r>
        <w:t xml:space="preserve">At Q1, EQR reported</w:t>
      </w:r>
      <w:r>
        <w:t xml:space="preserve"> </w:t>
      </w:r>
      <w:r>
        <w:rPr>
          <w:b/>
          <w:bCs/>
        </w:rPr>
        <w:t xml:space="preserve">1.5% blended lease-rate growth</w:t>
      </w:r>
      <w:r>
        <w:t xml:space="preserve">, and preliminary April data improved to</w:t>
      </w:r>
      <w:r>
        <w:t xml:space="preserve"> </w:t>
      </w:r>
      <w:r>
        <w:rPr>
          <w:b/>
          <w:bCs/>
        </w:rPr>
        <w:t xml:space="preserve">3.0%</w:t>
      </w:r>
      <w:r>
        <w:t xml:space="preserve">. The improvement was driven by</w:t>
      </w:r>
      <w:r>
        <w:t xml:space="preserve"> </w:t>
      </w:r>
      <w:r>
        <w:rPr>
          <w:b/>
          <w:bCs/>
        </w:rPr>
        <w:t xml:space="preserve">5.3% renewal growth</w:t>
      </w:r>
      <w:r>
        <w:t xml:space="preserve">, while new-lease change was still</w:t>
      </w:r>
      <w:r>
        <w:t xml:space="preserve"> </w:t>
      </w:r>
      <w:r>
        <w:rPr>
          <w:b/>
          <w:bCs/>
        </w:rPr>
        <w:t xml:space="preserve">-1.1%</w:t>
      </w:r>
      <w:r>
        <w:t xml:space="preserve">. Physical occupancy remained high at</w:t>
      </w:r>
      <w:r>
        <w:t xml:space="preserve"> </w:t>
      </w:r>
      <w:r>
        <w:rPr>
          <w:b/>
          <w:bCs/>
        </w:rPr>
        <w:t xml:space="preserve">96.3%</w:t>
      </w:r>
      <w:r>
        <w:t xml:space="preserve"> </w:t>
      </w:r>
      <w:r>
        <w:t xml:space="preserve">in April, following</w:t>
      </w:r>
      <w:r>
        <w:t xml:space="preserve"> </w:t>
      </w:r>
      <w:r>
        <w:rPr>
          <w:b/>
          <w:bCs/>
        </w:rPr>
        <w:t xml:space="preserve">96.5%</w:t>
      </w:r>
      <w:r>
        <w:t xml:space="preserve"> </w:t>
      </w:r>
      <w:r>
        <w:t xml:space="preserve">in Q1. (</w:t>
      </w:r>
      <w:hyperlink r:id="rId12">
        <w:r>
          <w:rPr>
            <w:rStyle w:val="Hyperlink"/>
          </w:rPr>
          <w:t xml:space="preserve">investors.equityapartments.com</w:t>
        </w:r>
      </w:hyperlink>
      <w:r>
        <w:t xml:space="preserve">)</w:t>
      </w:r>
    </w:p>
    <w:p>
      <w:pPr>
        <w:pStyle w:val="BodyText"/>
      </w:pPr>
      <w:r>
        <w:t xml:space="preserve">For Q2, investors should look for:</w:t>
      </w:r>
    </w:p>
    <w:p>
      <w:pPr>
        <w:pStyle w:val="Compact"/>
        <w:numPr>
          <w:ilvl w:val="0"/>
          <w:numId w:val="1001"/>
        </w:numPr>
      </w:pPr>
      <w:r>
        <w:rPr>
          <w:b/>
          <w:bCs/>
        </w:rPr>
        <w:t xml:space="preserve">New-lease change moving toward flat or positive territory.</w:t>
      </w:r>
      <w:r>
        <w:t xml:space="preserve"> </w:t>
      </w:r>
      <w:r>
        <w:t xml:space="preserve">Management previously expected sequential improvement during Q2, but not necessarily an immediate material inflection.</w:t>
      </w:r>
    </w:p>
    <w:p>
      <w:pPr>
        <w:pStyle w:val="Compact"/>
        <w:numPr>
          <w:ilvl w:val="0"/>
          <w:numId w:val="1001"/>
        </w:numPr>
      </w:pPr>
      <w:r>
        <w:rPr>
          <w:b/>
          <w:bCs/>
        </w:rPr>
        <w:t xml:space="preserve">Renewal rates holding near 5%.</w:t>
      </w:r>
      <w:r>
        <w:t xml:space="preserve"> </w:t>
      </w:r>
      <w:r>
        <w:t xml:space="preserve">This is the clearest current source of rent growth and reflects record-low resident turnover.</w:t>
      </w:r>
    </w:p>
    <w:p>
      <w:pPr>
        <w:pStyle w:val="Compact"/>
        <w:numPr>
          <w:ilvl w:val="0"/>
          <w:numId w:val="1001"/>
        </w:numPr>
      </w:pPr>
      <w:r>
        <w:rPr>
          <w:b/>
          <w:bCs/>
        </w:rPr>
        <w:t xml:space="preserve">Concessions declining further</w:t>
      </w:r>
      <w:r>
        <w:t xml:space="preserve">, particularly outside the Sun Belt-oriented expansion markets. Cash concessions were down 21% year over year in Q1, a favorable early indicator for future revenue growth. (</w:t>
      </w:r>
      <w:hyperlink r:id="rId12">
        <w:r>
          <w:rPr>
            <w:rStyle w:val="Hyperlink"/>
          </w:rPr>
          <w:t xml:space="preserve">investors.equityapartments.com</w:t>
        </w:r>
      </w:hyperlink>
      <w:r>
        <w:t xml:space="preserve">)</w:t>
      </w:r>
    </w:p>
    <w:p>
      <w:pPr>
        <w:pStyle w:val="FirstParagraph"/>
      </w:pPr>
      <w:r>
        <w:rPr>
          <w:b/>
          <w:bCs/>
        </w:rPr>
        <w:t xml:space="preserve">Why it matters:</w:t>
      </w:r>
      <w:r>
        <w:t xml:space="preserve"> </w:t>
      </w:r>
      <w:r>
        <w:t xml:space="preserve">Renewals can sustain near-term earnings, but a durable acceleration in same-store revenue ultimately requires stronger new-lease pricing as the peak leasing season progresses.</w:t>
      </w:r>
    </w:p>
    <w:p>
      <w:r>
        <w:pict>
          <v:rect style="width:0;height:1.5pt" o:hralign="center" o:hrstd="t" o:hr="t"/>
        </w:pict>
      </w:r>
    </w:p>
    <w:bookmarkEnd w:id="13"/>
    <w:bookmarkStart w:id="15" w:name="X9fb1829be0c6e285c605615cf26b7a0dc2906ac"/>
    <w:p>
      <w:pPr>
        <w:pStyle w:val="Heading3"/>
      </w:pPr>
      <w:r>
        <w:t xml:space="preserve">2. San Francisco and New York are carrying the thesis—and likely need to remain strong</w:t>
      </w:r>
    </w:p>
    <w:p>
      <w:pPr>
        <w:pStyle w:val="FirstParagraph"/>
      </w:pPr>
      <w:r>
        <w:t xml:space="preserve">EQR’s portfolio has unusually meaningful exposure to its two best-performing markets: San Francisco represented</w:t>
      </w:r>
      <w:r>
        <w:t xml:space="preserve"> </w:t>
      </w:r>
      <w:r>
        <w:rPr>
          <w:b/>
          <w:bCs/>
        </w:rPr>
        <w:t xml:space="preserve">16.4%</w:t>
      </w:r>
      <w:r>
        <w:t xml:space="preserve"> </w:t>
      </w:r>
      <w:r>
        <w:t xml:space="preserve">of stabilized budgeted NOI and New York</w:t>
      </w:r>
      <w:r>
        <w:t xml:space="preserve"> </w:t>
      </w:r>
      <w:r>
        <w:rPr>
          <w:b/>
          <w:bCs/>
        </w:rPr>
        <w:t xml:space="preserve">14.4%</w:t>
      </w:r>
      <w:r>
        <w:t xml:space="preserve"> </w:t>
      </w:r>
      <w:r>
        <w:t xml:space="preserve">as of March 31—roughly</w:t>
      </w:r>
      <w:r>
        <w:t xml:space="preserve"> </w:t>
      </w:r>
      <w:r>
        <w:rPr>
          <w:b/>
          <w:bCs/>
        </w:rPr>
        <w:t xml:space="preserve">31% combined</w:t>
      </w:r>
      <w:r>
        <w:t xml:space="preserve">. Q1 same-store residential revenue grew</w:t>
      </w:r>
      <w:r>
        <w:t xml:space="preserve"> </w:t>
      </w:r>
      <w:r>
        <w:rPr>
          <w:b/>
          <w:bCs/>
        </w:rPr>
        <w:t xml:space="preserve">6.5% in San Francisco</w:t>
      </w:r>
      <w:r>
        <w:t xml:space="preserve"> </w:t>
      </w:r>
      <w:r>
        <w:t xml:space="preserve">and</w:t>
      </w:r>
      <w:r>
        <w:t xml:space="preserve"> </w:t>
      </w:r>
      <w:r>
        <w:rPr>
          <w:b/>
          <w:bCs/>
        </w:rPr>
        <w:t xml:space="preserve">4.6% in New York</w:t>
      </w:r>
      <w:r>
        <w:t xml:space="preserve">, with NOI up</w:t>
      </w:r>
      <w:r>
        <w:t xml:space="preserve"> </w:t>
      </w:r>
      <w:r>
        <w:rPr>
          <w:b/>
          <w:bCs/>
        </w:rPr>
        <w:t xml:space="preserve">8.7%</w:t>
      </w:r>
      <w:r>
        <w:t xml:space="preserve"> </w:t>
      </w:r>
      <w:r>
        <w:t xml:space="preserve">and</w:t>
      </w:r>
      <w:r>
        <w:t xml:space="preserve"> </w:t>
      </w:r>
      <w:r>
        <w:rPr>
          <w:b/>
          <w:bCs/>
        </w:rPr>
        <w:t xml:space="preserve">6.4%</w:t>
      </w:r>
      <w:r>
        <w:t xml:space="preserve">, respectively. (</w:t>
      </w:r>
      <w:hyperlink r:id="rId14">
        <w:r>
          <w:rPr>
            <w:rStyle w:val="Hyperlink"/>
          </w:rPr>
          <w:t xml:space="preserve">s1.q4cdn.com</w:t>
        </w:r>
      </w:hyperlink>
      <w:r>
        <w:t xml:space="preserve">)</w:t>
      </w:r>
    </w:p>
    <w:p>
      <w:pPr>
        <w:pStyle w:val="BodyText"/>
      </w:pPr>
      <w:r>
        <w:t xml:space="preserve">These markets have been supported by limited new supply, high occupancy, stronger high-income renter demand, and—in San Francisco—management’s view that AI-related activity is helping downtown demand. The Q2 release should establish whether this strength persisted through the more important summer leasing months.</w:t>
      </w:r>
    </w:p>
    <w:p>
      <w:pPr>
        <w:pStyle w:val="BodyText"/>
      </w:pPr>
      <w:r>
        <w:rPr>
          <w:b/>
          <w:bCs/>
        </w:rPr>
        <w:t xml:space="preserve">Upside scenario:</w:t>
      </w:r>
      <w:r>
        <w:t xml:space="preserve"> </w:t>
      </w:r>
      <w:r>
        <w:t xml:space="preserve">San Francisco and New York remain exceptionally strong while D.C., Seattle, Atlanta, and Dallas continue to improve sequentially.</w:t>
      </w:r>
    </w:p>
    <w:p>
      <w:pPr>
        <w:pStyle w:val="BodyText"/>
      </w:pPr>
      <w:r>
        <w:rPr>
          <w:b/>
          <w:bCs/>
        </w:rPr>
        <w:t xml:space="preserve">Risk scenario:</w:t>
      </w:r>
      <w:r>
        <w:t xml:space="preserve"> </w:t>
      </w:r>
      <w:r>
        <w:t xml:space="preserve">A meaningful cooling in either gateway market would make it harder for EQR to offset still-soft conditions in Los Angeles, Boston, Seattle, Denver, and Austin.</w:t>
      </w:r>
    </w:p>
    <w:p>
      <w:r>
        <w:pict>
          <v:rect style="width:0;height:1.5pt" o:hralign="center" o:hrstd="t" o:hr="t"/>
        </w:pict>
      </w:r>
    </w:p>
    <w:bookmarkEnd w:id="15"/>
    <w:bookmarkStart w:id="16" w:name="X81a22afcb2ac9357d0da3fd6d9d8e1ad1daf533"/>
    <w:p>
      <w:pPr>
        <w:pStyle w:val="Heading3"/>
      </w:pPr>
      <w:r>
        <w:t xml:space="preserve">3. Full-year same-store NOI guidance is the major valuation signal</w:t>
      </w:r>
    </w:p>
    <w:p>
      <w:pPr>
        <w:pStyle w:val="FirstParagraph"/>
      </w:pPr>
      <w:r>
        <w:t xml:space="preserve">Management’s current 2026 outlook calls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w:t>
            </w:r>
          </w:p>
        </w:tc>
        <w:tc>
          <w:tcPr/>
          <w:p>
            <w:pPr>
              <w:pStyle w:val="Compact"/>
              <w:jc w:val="right"/>
            </w:pPr>
            <w:r>
              <w:t xml:space="preserve">Range</w:t>
            </w:r>
          </w:p>
        </w:tc>
      </w:tr>
      <w:tr>
        <w:tc>
          <w:tcPr/>
          <w:p>
            <w:pPr>
              <w:pStyle w:val="Compact"/>
            </w:pPr>
            <w:r>
              <w:t xml:space="preserve">Normalized FFO/share</w:t>
            </w:r>
          </w:p>
        </w:tc>
        <w:tc>
          <w:tcPr/>
          <w:p>
            <w:pPr>
              <w:pStyle w:val="Compact"/>
              <w:jc w:val="right"/>
            </w:pPr>
            <m:oMath>
              <m:r>
                <m:t>4.02</m:t>
              </m:r>
              <m:r>
                <m:rPr>
                  <m:sty m:val="p"/>
                </m:rPr>
                <m:t>–</m:t>
              </m:r>
            </m:oMath>
            <w:r>
              <w:rPr>
                <w:b/>
                <w:bCs/>
              </w:rPr>
              <w:t xml:space="preserve">4.14</w:t>
            </w:r>
          </w:p>
        </w:tc>
      </w:tr>
      <w:tr>
        <w:tc>
          <w:tcPr/>
          <w:p>
            <w:pPr>
              <w:pStyle w:val="Compact"/>
            </w:pPr>
            <w:r>
              <w:t xml:space="preserve">Same-store revenue growth</w:t>
            </w:r>
          </w:p>
        </w:tc>
        <w:tc>
          <w:tcPr/>
          <w:p>
            <w:pPr>
              <w:pStyle w:val="Compact"/>
              <w:jc w:val="right"/>
            </w:pPr>
            <w:r>
              <w:rPr>
                <w:b/>
                <w:bCs/>
              </w:rPr>
              <w:t xml:space="preserve">1.2%–3.2%</w:t>
            </w:r>
          </w:p>
        </w:tc>
      </w:tr>
      <w:tr>
        <w:tc>
          <w:tcPr/>
          <w:p>
            <w:pPr>
              <w:pStyle w:val="Compact"/>
            </w:pPr>
            <w:r>
              <w:t xml:space="preserve">Same-store expense growth</w:t>
            </w:r>
          </w:p>
        </w:tc>
        <w:tc>
          <w:tcPr/>
          <w:p>
            <w:pPr>
              <w:pStyle w:val="Compact"/>
              <w:jc w:val="right"/>
            </w:pPr>
            <w:r>
              <w:rPr>
                <w:b/>
                <w:bCs/>
              </w:rPr>
              <w:t xml:space="preserve">3.0%–4.0%</w:t>
            </w:r>
          </w:p>
        </w:tc>
      </w:tr>
      <w:tr>
        <w:tc>
          <w:tcPr/>
          <w:p>
            <w:pPr>
              <w:pStyle w:val="Compact"/>
            </w:pPr>
            <w:r>
              <w:t xml:space="preserve">Same-store NOI growth</w:t>
            </w:r>
          </w:p>
        </w:tc>
        <w:tc>
          <w:tcPr/>
          <w:p>
            <w:pPr>
              <w:pStyle w:val="Compact"/>
              <w:jc w:val="right"/>
            </w:pPr>
            <w:r>
              <w:rPr>
                <w:b/>
                <w:bCs/>
              </w:rPr>
              <w:t xml:space="preserve">0.5%–2.5%</w:t>
            </w:r>
          </w:p>
        </w:tc>
      </w:tr>
      <w:tr>
        <w:tc>
          <w:tcPr/>
          <w:p>
            <w:pPr>
              <w:pStyle w:val="Compact"/>
            </w:pPr>
            <w:r>
              <w:t xml:space="preserve">Physical occupancy</w:t>
            </w:r>
          </w:p>
        </w:tc>
        <w:tc>
          <w:tcPr/>
          <w:p>
            <w:pPr>
              <w:pStyle w:val="Compact"/>
              <w:jc w:val="right"/>
            </w:pPr>
            <w:r>
              <w:rPr>
                <w:b/>
                <w:bCs/>
              </w:rPr>
              <w:t xml:space="preserve">96.4%</w:t>
            </w:r>
          </w:p>
        </w:tc>
      </w:tr>
    </w:tbl>
    <w:p>
      <w:pPr>
        <w:pStyle w:val="BodyText"/>
      </w:pPr>
      <w:r>
        <w:t xml:space="preserve">(</w:t>
      </w:r>
      <w:hyperlink r:id="rId14">
        <w:r>
          <w:rPr>
            <w:rStyle w:val="Hyperlink"/>
          </w:rPr>
          <w:t xml:space="preserve">s1.q4cdn.com</w:t>
        </w:r>
      </w:hyperlink>
      <w:r>
        <w:t xml:space="preserve">)</w:t>
      </w:r>
    </w:p>
    <w:p>
      <w:pPr>
        <w:pStyle w:val="BodyText"/>
      </w:pPr>
      <w:r>
        <w:t xml:space="preserve">The tension in the guide is clear: expenses are expected to grow faster than revenues at the midpoint. In Q1, same-store revenue rose</w:t>
      </w:r>
      <w:r>
        <w:t xml:space="preserve"> </w:t>
      </w:r>
      <w:r>
        <w:rPr>
          <w:b/>
          <w:bCs/>
        </w:rPr>
        <w:t xml:space="preserve">2.2%</w:t>
      </w:r>
      <w:r>
        <w:t xml:space="preserve">, expenses rose</w:t>
      </w:r>
      <w:r>
        <w:t xml:space="preserve"> </w:t>
      </w:r>
      <w:r>
        <w:rPr>
          <w:b/>
          <w:bCs/>
        </w:rPr>
        <w:t xml:space="preserve">3.7%</w:t>
      </w:r>
      <w:r>
        <w:t xml:space="preserve">, and NOI rose just</w:t>
      </w:r>
      <w:r>
        <w:t xml:space="preserve"> </w:t>
      </w:r>
      <w:r>
        <w:rPr>
          <w:b/>
          <w:bCs/>
        </w:rPr>
        <w:t xml:space="preserve">1.4%</w:t>
      </w:r>
      <w:r>
        <w:t xml:space="preserve">. Thus, even modest revenue upside can have an outsized impact on full-year NOI expectations—but only if expenses remain controlled. (</w:t>
      </w:r>
      <w:hyperlink r:id="rId12">
        <w:r>
          <w:rPr>
            <w:rStyle w:val="Hyperlink"/>
          </w:rPr>
          <w:t xml:space="preserve">investors.equityapartments.com</w:t>
        </w:r>
      </w:hyperlink>
      <w:r>
        <w:t xml:space="preserve">)</w:t>
      </w:r>
    </w:p>
    <w:p>
      <w:pPr>
        <w:pStyle w:val="BodyText"/>
      </w:pPr>
      <w:r>
        <w:t xml:space="preserve">A</w:t>
      </w:r>
      <w:r>
        <w:t xml:space="preserve"> </w:t>
      </w:r>
      <w:r>
        <w:rPr>
          <w:b/>
          <w:bCs/>
        </w:rPr>
        <w:t xml:space="preserve">raise to same-store revenue or NOI guidance</w:t>
      </w:r>
      <w:r>
        <w:t xml:space="preserve"> </w:t>
      </w:r>
      <w:r>
        <w:t xml:space="preserve">would be the most consequential bullish outcome. Conversely, maintaining the overall FFO range while narrowing the operating outlook toward the low end could disappoint investors even if Q2 normalized FFO meets consensus.</w:t>
      </w:r>
    </w:p>
    <w:p>
      <w:r>
        <w:pict>
          <v:rect style="width:0;height:1.5pt" o:hralign="center" o:hrstd="t" o:hr="t"/>
        </w:pict>
      </w:r>
    </w:p>
    <w:bookmarkEnd w:id="16"/>
    <w:bookmarkEnd w:id="17"/>
    <w:bookmarkStart w:id="18" w:name="the-key-operating-scorecard"/>
    <w:p>
      <w:pPr>
        <w:pStyle w:val="Heading2"/>
      </w:pPr>
      <w:r>
        <w:t xml:space="preserve">The key operating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Q1 / April baseline</w:t>
            </w:r>
          </w:p>
        </w:tc>
        <w:tc>
          <w:tcPr/>
          <w:p>
            <w:pPr>
              <w:pStyle w:val="Compact"/>
            </w:pPr>
            <w:r>
              <w:t xml:space="preserve">What investors want in Q2</w:t>
            </w:r>
          </w:p>
        </w:tc>
      </w:tr>
      <w:tr>
        <w:tc>
          <w:tcPr/>
          <w:p>
            <w:pPr>
              <w:pStyle w:val="Compact"/>
            </w:pPr>
            <w:r>
              <w:t xml:space="preserve">Normalized FFO/share</w:t>
            </w:r>
          </w:p>
        </w:tc>
        <w:tc>
          <w:tcPr/>
          <w:p>
            <w:pPr>
              <w:pStyle w:val="Compact"/>
              <w:jc w:val="right"/>
            </w:pPr>
            <w:r>
              <w:t xml:space="preserve">Q1:</w:t>
            </w:r>
            <w:r>
              <w:t xml:space="preserve"> </w:t>
            </w:r>
            <w:r>
              <w:rPr>
                <w:b/>
                <w:bCs/>
              </w:rPr>
              <w:t xml:space="preserve">$0.99</w:t>
            </w:r>
          </w:p>
        </w:tc>
        <w:tc>
          <w:tcPr/>
          <w:p>
            <w:pPr>
              <w:pStyle w:val="Compact"/>
            </w:pPr>
            <w:r>
              <w:t xml:space="preserve">Around or above the</w:t>
            </w:r>
            <w:r>
              <w:t xml:space="preserve"> </w:t>
            </w:r>
            <w:r>
              <w:rPr>
                <w:b/>
                <w:bCs/>
              </w:rPr>
              <w:t xml:space="preserve">$1.01</w:t>
            </w:r>
            <w:r>
              <w:t xml:space="preserve"> </w:t>
            </w:r>
            <w:r>
              <w:t xml:space="preserve">consensus; more important, a credible Q3 setup</w:t>
            </w:r>
          </w:p>
        </w:tc>
      </w:tr>
      <w:tr>
        <w:tc>
          <w:tcPr/>
          <w:p>
            <w:pPr>
              <w:pStyle w:val="Compact"/>
            </w:pPr>
            <w:r>
              <w:t xml:space="preserve">Q2 NFFO guide</w:t>
            </w:r>
          </w:p>
        </w:tc>
        <w:tc>
          <w:tcPr/>
          <w:p>
            <w:pPr>
              <w:pStyle w:val="Compact"/>
              <w:jc w:val="right"/>
            </w:pPr>
            <m:oMath>
              <m:r>
                <m:t>0.98</m:t>
              </m:r>
              <m:r>
                <m:rPr>
                  <m:sty m:val="p"/>
                </m:rPr>
                <m:t>–</m:t>
              </m:r>
            </m:oMath>
            <w:r>
              <w:rPr>
                <w:b/>
                <w:bCs/>
              </w:rPr>
              <w:t xml:space="preserve">1.02</w:t>
            </w:r>
          </w:p>
        </w:tc>
        <w:tc>
          <w:tcPr/>
          <w:p>
            <w:pPr>
              <w:pStyle w:val="Compact"/>
            </w:pPr>
            <w:r>
              <w:t xml:space="preserve">Result near or above upper half of range</w:t>
            </w:r>
          </w:p>
        </w:tc>
      </w:tr>
      <w:tr>
        <w:tc>
          <w:tcPr/>
          <w:p>
            <w:pPr>
              <w:pStyle w:val="Compact"/>
            </w:pPr>
            <w:r>
              <w:t xml:space="preserve">Blended lease-rate growth</w:t>
            </w:r>
          </w:p>
        </w:tc>
        <w:tc>
          <w:tcPr/>
          <w:p>
            <w:pPr>
              <w:pStyle w:val="Compact"/>
              <w:jc w:val="right"/>
            </w:pPr>
            <w:r>
              <w:t xml:space="preserve">Q1:</w:t>
            </w:r>
            <w:r>
              <w:t xml:space="preserve"> </w:t>
            </w:r>
            <w:r>
              <w:rPr>
                <w:b/>
                <w:bCs/>
              </w:rPr>
              <w:t xml:space="preserve">1.5%</w:t>
            </w:r>
            <w:r>
              <w:t xml:space="preserve">; April:</w:t>
            </w:r>
            <w:r>
              <w:t xml:space="preserve"> </w:t>
            </w:r>
            <w:r>
              <w:rPr>
                <w:b/>
                <w:bCs/>
              </w:rPr>
              <w:t xml:space="preserve">3.0%</w:t>
            </w:r>
          </w:p>
        </w:tc>
        <w:tc>
          <w:tcPr/>
          <w:p>
            <w:pPr>
              <w:pStyle w:val="Compact"/>
            </w:pPr>
            <w:r>
              <w:t xml:space="preserve">Sustained improvement through May–June</w:t>
            </w:r>
          </w:p>
        </w:tc>
      </w:tr>
      <w:tr>
        <w:tc>
          <w:tcPr/>
          <w:p>
            <w:pPr>
              <w:pStyle w:val="Compact"/>
            </w:pPr>
            <w:r>
              <w:t xml:space="preserve">New-lease change</w:t>
            </w:r>
          </w:p>
        </w:tc>
        <w:tc>
          <w:tcPr/>
          <w:p>
            <w:pPr>
              <w:pStyle w:val="Compact"/>
              <w:jc w:val="right"/>
            </w:pPr>
            <w:r>
              <w:t xml:space="preserve">April:</w:t>
            </w:r>
            <w:r>
              <w:t xml:space="preserve"> </w:t>
            </w:r>
            <w:r>
              <w:rPr>
                <w:b/>
                <w:bCs/>
              </w:rPr>
              <w:t xml:space="preserve">-1.1%</w:t>
            </w:r>
          </w:p>
        </w:tc>
        <w:tc>
          <w:tcPr/>
          <w:p>
            <w:pPr>
              <w:pStyle w:val="Compact"/>
            </w:pPr>
            <w:r>
              <w:t xml:space="preserve">Movement toward flat/positive</w:t>
            </w:r>
          </w:p>
        </w:tc>
      </w:tr>
      <w:tr>
        <w:tc>
          <w:tcPr/>
          <w:p>
            <w:pPr>
              <w:pStyle w:val="Compact"/>
            </w:pPr>
            <w:r>
              <w:t xml:space="preserve">Renewal rate achieved</w:t>
            </w:r>
          </w:p>
        </w:tc>
        <w:tc>
          <w:tcPr/>
          <w:p>
            <w:pPr>
              <w:pStyle w:val="Compact"/>
              <w:jc w:val="right"/>
            </w:pPr>
            <w:r>
              <w:t xml:space="preserve">April:</w:t>
            </w:r>
            <w:r>
              <w:t xml:space="preserve"> </w:t>
            </w:r>
            <w:r>
              <w:rPr>
                <w:b/>
                <w:bCs/>
              </w:rPr>
              <w:t xml:space="preserve">5.3%</w:t>
            </w:r>
          </w:p>
        </w:tc>
        <w:tc>
          <w:tcPr/>
          <w:p>
            <w:pPr>
              <w:pStyle w:val="Compact"/>
            </w:pPr>
            <w:r>
              <w:t xml:space="preserve">Continued ~5% pricing without retention deterioration</w:t>
            </w:r>
          </w:p>
        </w:tc>
      </w:tr>
      <w:tr>
        <w:tc>
          <w:tcPr/>
          <w:p>
            <w:pPr>
              <w:pStyle w:val="Compact"/>
            </w:pPr>
            <w:r>
              <w:t xml:space="preserve">Physical occupancy</w:t>
            </w:r>
          </w:p>
        </w:tc>
        <w:tc>
          <w:tcPr/>
          <w:p>
            <w:pPr>
              <w:pStyle w:val="Compact"/>
              <w:jc w:val="right"/>
            </w:pPr>
            <w:r>
              <w:t xml:space="preserve">April:</w:t>
            </w:r>
            <w:r>
              <w:t xml:space="preserve"> </w:t>
            </w:r>
            <w:r>
              <w:rPr>
                <w:b/>
                <w:bCs/>
              </w:rPr>
              <w:t xml:space="preserve">96.3%</w:t>
            </w:r>
          </w:p>
        </w:tc>
        <w:tc>
          <w:tcPr/>
          <w:p>
            <w:pPr>
              <w:pStyle w:val="Compact"/>
            </w:pPr>
            <w:r>
              <w:t xml:space="preserve">Stable mid-96% range</w:t>
            </w:r>
          </w:p>
        </w:tc>
      </w:tr>
      <w:tr>
        <w:tc>
          <w:tcPr/>
          <w:p>
            <w:pPr>
              <w:pStyle w:val="Compact"/>
            </w:pPr>
            <w:r>
              <w:t xml:space="preserve">Same-store NOI growth</w:t>
            </w:r>
          </w:p>
        </w:tc>
        <w:tc>
          <w:tcPr/>
          <w:p>
            <w:pPr>
              <w:pStyle w:val="Compact"/>
              <w:jc w:val="right"/>
            </w:pPr>
            <w:r>
              <w:t xml:space="preserve">Q1:</w:t>
            </w:r>
            <w:r>
              <w:t xml:space="preserve"> </w:t>
            </w:r>
            <w:r>
              <w:rPr>
                <w:b/>
                <w:bCs/>
              </w:rPr>
              <w:t xml:space="preserve">1.4%</w:t>
            </w:r>
          </w:p>
        </w:tc>
        <w:tc>
          <w:tcPr/>
          <w:p>
            <w:pPr>
              <w:pStyle w:val="Compact"/>
            </w:pPr>
            <w:r>
              <w:t xml:space="preserve">Better revenue/expense spread and confidence in full-year 0.5%–2.5% guide</w:t>
            </w:r>
          </w:p>
        </w:tc>
      </w:tr>
      <w:tr>
        <w:tc>
          <w:tcPr/>
          <w:p>
            <w:pPr>
              <w:pStyle w:val="Compact"/>
            </w:pPr>
            <w:r>
              <w:t xml:space="preserve">Concessions</w:t>
            </w:r>
          </w:p>
        </w:tc>
        <w:tc>
          <w:tcPr/>
          <w:p>
            <w:pPr>
              <w:pStyle w:val="Compact"/>
              <w:jc w:val="right"/>
            </w:pPr>
            <w:r>
              <w:t xml:space="preserve">Q1 cash concessions:</w:t>
            </w:r>
            <w:r>
              <w:t xml:space="preserve"> </w:t>
            </w:r>
            <w:r>
              <w:rPr>
                <w:b/>
                <w:bCs/>
              </w:rPr>
              <w:t xml:space="preserve">-21% YoY</w:t>
            </w:r>
          </w:p>
        </w:tc>
        <w:tc>
          <w:tcPr/>
          <w:p>
            <w:pPr>
              <w:pStyle w:val="Compact"/>
            </w:pPr>
            <w:r>
              <w:t xml:space="preserve">Further reduction, especially in D.C., Seattle, Atlanta, and Dallas</w:t>
            </w:r>
          </w:p>
        </w:tc>
      </w:tr>
    </w:tbl>
    <w:p>
      <w:pPr>
        <w:pStyle w:val="BodyText"/>
      </w:pPr>
      <w:r>
        <w:rPr>
          <w:i/>
          <w:iCs/>
        </w:rPr>
        <w:t xml:space="preserve">Source: EQR Q1 release and supplemental materials.</w:t>
      </w:r>
      <w:r>
        <w:t xml:space="preserve"> </w:t>
      </w:r>
      <w:r>
        <w:t xml:space="preserve">(</w:t>
      </w:r>
      <w:hyperlink r:id="rId12">
        <w:r>
          <w:rPr>
            <w:rStyle w:val="Hyperlink"/>
          </w:rPr>
          <w:t xml:space="preserve">investors.equityapartments.com</w:t>
        </w:r>
      </w:hyperlink>
      <w:r>
        <w:t xml:space="preserve">)</w:t>
      </w:r>
    </w:p>
    <w:p>
      <w:r>
        <w:pict>
          <v:rect style="width:0;height:1.5pt" o:hralign="center" o:hrstd="t" o:hr="t"/>
        </w:pict>
      </w:r>
    </w:p>
    <w:bookmarkEnd w:id="18"/>
    <w:bookmarkStart w:id="21" w:name="X80b5f8d8e57182e5d2b11ba6b74c5fd6e467448"/>
    <w:p>
      <w:pPr>
        <w:pStyle w:val="Heading2"/>
      </w:pPr>
      <w:r>
        <w:t xml:space="preserve">Expenses and balance sheet: the less-visible variables</w:t>
      </w:r>
    </w:p>
    <w:bookmarkStart w:id="19" w:name="expense-control-remains-essential"/>
    <w:p>
      <w:pPr>
        <w:pStyle w:val="Heading3"/>
      </w:pPr>
      <w:r>
        <w:t xml:space="preserve">Expense control remains essential</w:t>
      </w:r>
    </w:p>
    <w:p>
      <w:pPr>
        <w:pStyle w:val="FirstParagraph"/>
      </w:pPr>
      <w:r>
        <w:t xml:space="preserve">Q1 expenses grew 3.7%, pressured by utilities, repairs and maintenance, real-estate taxes, insurance, and leasing/advertising. Management had expected utilities to run somewhat above plan after a weather-affected first quarter, although it noted some offset through utility recoveries and ancillary income. (</w:t>
      </w:r>
      <w:hyperlink r:id="rId12">
        <w:r>
          <w:rPr>
            <w:rStyle w:val="Hyperlink"/>
          </w:rPr>
          <w:t xml:space="preserve">investors.equityapartments.com</w:t>
        </w:r>
      </w:hyperlink>
      <w:r>
        <w:t xml:space="preserve">)</w:t>
      </w:r>
    </w:p>
    <w:p>
      <w:pPr>
        <w:pStyle w:val="BodyText"/>
      </w:pPr>
      <w:r>
        <w:t xml:space="preserve">Watch for commentary on:</w:t>
      </w:r>
    </w:p>
    <w:p>
      <w:pPr>
        <w:pStyle w:val="Compact"/>
        <w:numPr>
          <w:ilvl w:val="0"/>
          <w:numId w:val="1002"/>
        </w:numPr>
      </w:pPr>
      <w:r>
        <w:t xml:space="preserve">Utility-price pressure and recovery rates;</w:t>
      </w:r>
    </w:p>
    <w:p>
      <w:pPr>
        <w:pStyle w:val="Compact"/>
        <w:numPr>
          <w:ilvl w:val="0"/>
          <w:numId w:val="1002"/>
        </w:numPr>
      </w:pPr>
      <w:r>
        <w:t xml:space="preserve">Insurance and casualty-loss trends;</w:t>
      </w:r>
    </w:p>
    <w:p>
      <w:pPr>
        <w:pStyle w:val="Compact"/>
        <w:numPr>
          <w:ilvl w:val="0"/>
          <w:numId w:val="1002"/>
        </w:numPr>
      </w:pPr>
      <w:r>
        <w:t xml:space="preserve">Payroll savings from centralization and automation initiatives;</w:t>
      </w:r>
    </w:p>
    <w:p>
      <w:pPr>
        <w:pStyle w:val="Compact"/>
        <w:numPr>
          <w:ilvl w:val="0"/>
          <w:numId w:val="1002"/>
        </w:numPr>
      </w:pPr>
      <w:r>
        <w:t xml:space="preserve">The economic return from bulk Wi-Fi, resident technology, and renovation spending.</w:t>
      </w:r>
    </w:p>
    <w:bookmarkEnd w:id="19"/>
    <w:bookmarkStart w:id="20" w:name="Xe8f8a4003ef0cc7012643b8d9e24b80d72c50c8"/>
    <w:p>
      <w:pPr>
        <w:pStyle w:val="Heading3"/>
      </w:pPr>
      <w:r>
        <w:t xml:space="preserve">Refinancing is manageable, but a relevant second-half issue</w:t>
      </w:r>
    </w:p>
    <w:p>
      <w:pPr>
        <w:pStyle w:val="FirstParagraph"/>
      </w:pPr>
      <w:r>
        <w:t xml:space="preserve">As of March 31, EQR had</w:t>
      </w:r>
      <w:r>
        <w:t xml:space="preserve"> </w:t>
      </w:r>
      <m:oMath>
        <m:r>
          <m:t>8.34</m:t>
        </m:r>
        <m:r>
          <m:t>b</m:t>
        </m:r>
        <m:r>
          <m:t>i</m:t>
        </m:r>
        <m:r>
          <m:t>l</m:t>
        </m:r>
        <m:r>
          <m:t>l</m:t>
        </m:r>
        <m:r>
          <m:t>i</m:t>
        </m:r>
        <m:r>
          <m:t>o</m:t>
        </m:r>
        <m:r>
          <m:t>n</m:t>
        </m:r>
        <m:r>
          <m:t>o</m:t>
        </m:r>
        <m:r>
          <m:t>f</m:t>
        </m:r>
        <m:r>
          <m:t>d</m:t>
        </m:r>
        <m:r>
          <m:t>e</m:t>
        </m:r>
        <m:r>
          <m:t>b</m:t>
        </m:r>
        <m:r>
          <m:t>t</m:t>
        </m:r>
        <m:r>
          <m:rPr>
            <m:sty m:val="p"/>
          </m:rPr>
          <m:t>*</m:t>
        </m:r>
        <m:r>
          <m:rPr>
            <m:sty m:val="p"/>
          </m:rPr>
          <m:t>*</m:t>
        </m:r>
        <m:r>
          <m:rPr>
            <m:sty m:val="p"/>
          </m:rPr>
          <m:t>,</m:t>
        </m:r>
        <m:r>
          <m:t>a</m:t>
        </m:r>
        <m:r>
          <m:rPr>
            <m:sty m:val="p"/>
          </m:rPr>
          <m:t>*</m:t>
        </m:r>
        <m:r>
          <m:rPr>
            <m:sty m:val="p"/>
          </m:rPr>
          <m:t>*</m:t>
        </m:r>
        <m:r>
          <m:t>3.78</m:t>
        </m:r>
      </m:oMath>
      <w:r>
        <w:rPr>
          <w:b/>
          <w:bCs/>
        </w:rPr>
        <w:t xml:space="preserve">1.35 billion of 2026 maturities</w:t>
      </w:r>
      <w:r>
        <w:t xml:space="preserve">, including commercial paper, while full-year guidance assumes</w:t>
      </w:r>
      <w:r>
        <w:t xml:space="preserve"> </w:t>
      </w:r>
      <m:oMath>
        <m:r>
          <m:t>500</m:t>
        </m:r>
        <m:r>
          <m:t>m</m:t>
        </m:r>
        <m:r>
          <m:t>i</m:t>
        </m:r>
        <m:r>
          <m:t>l</m:t>
        </m:r>
        <m:r>
          <m:t>l</m:t>
        </m:r>
        <m:r>
          <m:t>i</m:t>
        </m:r>
        <m:r>
          <m:t>o</m:t>
        </m:r>
        <m:r>
          <m:t>n</m:t>
        </m:r>
        <m:r>
          <m:rPr>
            <m:sty m:val="p"/>
          </m:rPr>
          <m:t>–</m:t>
        </m:r>
      </m:oMath>
      <w:r>
        <w:rPr>
          <w:b/>
          <w:bCs/>
        </w:rPr>
        <w:t xml:space="preserve">1.0 billion</w:t>
      </w:r>
      <w:r>
        <w:t xml:space="preserve"> </w:t>
      </w:r>
      <w:r>
        <w:t xml:space="preserve">of debt offerings. (</w:t>
      </w:r>
      <w:hyperlink r:id="rId14">
        <w:r>
          <w:rPr>
            <w:rStyle w:val="Hyperlink"/>
          </w:rPr>
          <w:t xml:space="preserve">s1.q4cdn.com</w:t>
        </w:r>
      </w:hyperlink>
      <w:r>
        <w:t xml:space="preserve">)</w:t>
      </w:r>
    </w:p>
    <w:p>
      <w:pPr>
        <w:pStyle w:val="BodyText"/>
      </w:pPr>
      <w:r>
        <w:t xml:space="preserve">The balance sheet appears conservatively positioned—net debt to normalized EBITDAre was</w:t>
      </w:r>
      <w:r>
        <w:t xml:space="preserve"> </w:t>
      </w:r>
      <w:r>
        <w:rPr>
          <w:b/>
          <w:bCs/>
        </w:rPr>
        <w:t xml:space="preserve">4.35x</w:t>
      </w:r>
      <w:r>
        <w:t xml:space="preserve">—but investors should listen for funding plans, refinancing rates, and whether interest expense continues to trend favorably versus guidance. (</w:t>
      </w:r>
      <w:hyperlink r:id="rId14">
        <w:r>
          <w:rPr>
            <w:rStyle w:val="Hyperlink"/>
          </w:rPr>
          <w:t xml:space="preserve">s1.q4cdn.com</w:t>
        </w:r>
      </w:hyperlink>
      <w:r>
        <w:t xml:space="preserve">)</w:t>
      </w:r>
    </w:p>
    <w:p>
      <w:r>
        <w:pict>
          <v:rect style="width:0;height:1.5pt" o:hralign="center" o:hrstd="t" o:hr="t"/>
        </w:pict>
      </w:r>
    </w:p>
    <w:bookmarkEnd w:id="20"/>
    <w:bookmarkEnd w:id="21"/>
    <w:bookmarkStart w:id="22" w:name="X74223f7cb1be21fcc7106fe2c6a739205c05c33"/>
    <w:p>
      <w:pPr>
        <w:pStyle w:val="Heading2"/>
      </w:pPr>
      <w:r>
        <w:t xml:space="preserve">Capital allocation: buybacks versus development and dispositions</w:t>
      </w:r>
    </w:p>
    <w:p>
      <w:pPr>
        <w:pStyle w:val="FirstParagraph"/>
      </w:pPr>
      <w:r>
        <w:t xml:space="preserve">EQR repurchased approximately</w:t>
      </w:r>
      <w:r>
        <w:t xml:space="preserve"> </w:t>
      </w:r>
      <m:oMath>
        <m:r>
          <m:t>219</m:t>
        </m:r>
        <m:r>
          <m:t>m</m:t>
        </m:r>
        <m:r>
          <m:t>i</m:t>
        </m:r>
        <m:r>
          <m:t>l</m:t>
        </m:r>
        <m:r>
          <m:t>l</m:t>
        </m:r>
        <m:r>
          <m:t>i</m:t>
        </m:r>
        <m:r>
          <m:t>o</m:t>
        </m:r>
        <m:r>
          <m:t>n</m:t>
        </m:r>
        <m:r>
          <m:rPr>
            <m:sty m:val="p"/>
          </m:rPr>
          <m:t>*</m:t>
        </m:r>
        <m:r>
          <m:rPr>
            <m:sty m:val="p"/>
          </m:rPr>
          <m:t>*</m:t>
        </m:r>
        <m:r>
          <m:t>o</m:t>
        </m:r>
        <m:r>
          <m:t>f</m:t>
        </m:r>
        <m:r>
          <m:t>s</m:t>
        </m:r>
        <m:r>
          <m:t>t</m:t>
        </m:r>
        <m:r>
          <m:t>o</m:t>
        </m:r>
        <m:r>
          <m:t>c</m:t>
        </m:r>
        <m:r>
          <m:t>k</m:t>
        </m:r>
        <m:r>
          <m:t>i</m:t>
        </m:r>
        <m:r>
          <m:t>n</m:t>
        </m:r>
        <m:r>
          <m:t>Q</m:t>
        </m:r>
        <m:r>
          <m:t>1</m:t>
        </m:r>
        <m:r>
          <m:t>a</m:t>
        </m:r>
        <m:r>
          <m:t>t</m:t>
        </m:r>
        <m:r>
          <m:t>a</m:t>
        </m:r>
        <m:r>
          <m:t>w</m:t>
        </m:r>
        <m:r>
          <m:t>e</m:t>
        </m:r>
        <m:r>
          <m:t>i</m:t>
        </m:r>
        <m:r>
          <m:t>g</m:t>
        </m:r>
        <m:r>
          <m:t>h</m:t>
        </m:r>
        <m:r>
          <m:t>t</m:t>
        </m:r>
        <m:r>
          <m:t>e</m:t>
        </m:r>
        <m:r>
          <m:t>d</m:t>
        </m:r>
        <m:r>
          <m:t>a</m:t>
        </m:r>
        <m:r>
          <m:t>v</m:t>
        </m:r>
        <m:r>
          <m:t>e</m:t>
        </m:r>
        <m:r>
          <m:t>r</m:t>
        </m:r>
        <m:r>
          <m:t>a</m:t>
        </m:r>
        <m:r>
          <m:t>g</m:t>
        </m:r>
        <m:r>
          <m:t>e</m:t>
        </m:r>
        <m:r>
          <m:t>o</m:t>
        </m:r>
        <m:r>
          <m:t>f</m:t>
        </m:r>
        <m:r>
          <m:rPr>
            <m:sty m:val="p"/>
          </m:rPr>
          <m:t>*</m:t>
        </m:r>
        <m:r>
          <m:rPr>
            <m:sty m:val="p"/>
          </m:rPr>
          <m:t>*</m:t>
        </m:r>
      </m:oMath>
      <w:r>
        <w:rPr>
          <w:b/>
          <w:bCs/>
        </w:rPr>
        <w:t xml:space="preserve">63.42 per share</w:t>
      </w:r>
      <w:r>
        <w:t xml:space="preserve">, part of roughly</w:t>
      </w:r>
      <w:r>
        <w:t xml:space="preserve"> </w:t>
      </w:r>
      <m:oMath>
        <m:r>
          <m:t>500</m:t>
        </m:r>
        <m:r>
          <m:t>m</m:t>
        </m:r>
        <m:r>
          <m:t>i</m:t>
        </m:r>
        <m:r>
          <m:t>l</m:t>
        </m:r>
        <m:r>
          <m:t>l</m:t>
        </m:r>
        <m:r>
          <m:t>i</m:t>
        </m:r>
        <m:r>
          <m:t>o</m:t>
        </m:r>
        <m:r>
          <m:t>n</m:t>
        </m:r>
        <m:r>
          <m:rPr>
            <m:sty m:val="p"/>
          </m:rPr>
          <m:t>*</m:t>
        </m:r>
        <m:r>
          <m:rPr>
            <m:sty m:val="p"/>
          </m:rPr>
          <m:t>*</m:t>
        </m:r>
        <m:r>
          <m:t>o</m:t>
        </m:r>
        <m:r>
          <m:t>f</m:t>
        </m:r>
        <m:r>
          <m:t>c</m:t>
        </m:r>
        <m:r>
          <m:t>u</m:t>
        </m:r>
        <m:r>
          <m:t>m</m:t>
        </m:r>
        <m:r>
          <m:t>u</m:t>
        </m:r>
        <m:r>
          <m:t>l</m:t>
        </m:r>
        <m:r>
          <m:t>a</m:t>
        </m:r>
        <m:r>
          <m:t>t</m:t>
        </m:r>
        <m:r>
          <m:t>i</m:t>
        </m:r>
        <m:r>
          <m:t>v</m:t>
        </m:r>
        <m:r>
          <m:t>e</m:t>
        </m:r>
        <m:r>
          <m:t>r</m:t>
        </m:r>
        <m:r>
          <m:t>e</m:t>
        </m:r>
        <m:r>
          <m:t>p</m:t>
        </m:r>
        <m:r>
          <m:t>u</m:t>
        </m:r>
        <m:r>
          <m:t>r</m:t>
        </m:r>
        <m:r>
          <m:t>c</m:t>
        </m:r>
        <m:r>
          <m:t>h</m:t>
        </m:r>
        <m:r>
          <m:t>a</m:t>
        </m:r>
        <m:r>
          <m:t>s</m:t>
        </m:r>
        <m:r>
          <m:t>e</m:t>
        </m:r>
        <m:r>
          <m:t>s</m:t>
        </m:r>
        <m:r>
          <m:t>s</m:t>
        </m:r>
        <m:r>
          <m:t>i</m:t>
        </m:r>
        <m:r>
          <m:t>n</m:t>
        </m:r>
        <m:r>
          <m:t>c</m:t>
        </m:r>
        <m:r>
          <m:t>e</m:t>
        </m:r>
        <m:r>
          <m:t>A</m:t>
        </m:r>
        <m:r>
          <m:t>u</m:t>
        </m:r>
        <m:r>
          <m:t>g</m:t>
        </m:r>
        <m:r>
          <m:t>u</m:t>
        </m:r>
        <m:r>
          <m:t>s</m:t>
        </m:r>
        <m:r>
          <m:t>t</m:t>
        </m:r>
        <m:r>
          <m:t>2025</m:t>
        </m:r>
        <m:r>
          <m:rPr>
            <m:sty m:val="p"/>
          </m:rPr>
          <m:t>.</m:t>
        </m:r>
        <m:r>
          <m:t>M</m:t>
        </m:r>
        <m:r>
          <m:t>a</m:t>
        </m:r>
        <m:r>
          <m:t>n</m:t>
        </m:r>
        <m:r>
          <m:t>a</m:t>
        </m:r>
        <m:r>
          <m:t>g</m:t>
        </m:r>
        <m:r>
          <m:t>e</m:t>
        </m:r>
        <m:r>
          <m:t>m</m:t>
        </m:r>
        <m:r>
          <m:t>e</m:t>
        </m:r>
        <m:r>
          <m:t>n</m:t>
        </m:r>
        <m:r>
          <m:t>t</m:t>
        </m:r>
        <m:r>
          <m:t>a</m:t>
        </m:r>
        <m:r>
          <m:t>l</m:t>
        </m:r>
        <m:r>
          <m:t>s</m:t>
        </m:r>
        <m:r>
          <m:t>o</m:t>
        </m:r>
        <m:r>
          <m:t>i</m:t>
        </m:r>
        <m:r>
          <m:t>n</m:t>
        </m:r>
        <m:r>
          <m:t>t</m:t>
        </m:r>
        <m:r>
          <m:t>r</m:t>
        </m:r>
        <m:r>
          <m:t>o</m:t>
        </m:r>
        <m:r>
          <m:t>d</m:t>
        </m:r>
        <m:r>
          <m:t>u</m:t>
        </m:r>
        <m:r>
          <m:t>c</m:t>
        </m:r>
        <m:r>
          <m:t>e</m:t>
        </m:r>
        <m:r>
          <m:t>d</m:t>
        </m:r>
        <m:r>
          <m:rPr>
            <m:sty m:val="p"/>
          </m:rPr>
          <m:t>*</m:t>
        </m:r>
        <m:r>
          <m:rPr>
            <m:sty m:val="p"/>
          </m:rPr>
          <m:t>*</m:t>
        </m:r>
      </m:oMath>
      <w:r>
        <w:rPr>
          <w:b/>
          <w:bCs/>
        </w:rPr>
        <w:t xml:space="preserve">165 million</w:t>
      </w:r>
      <w:r>
        <w:t xml:space="preserve"> </w:t>
      </w:r>
      <w:r>
        <w:t xml:space="preserve">of 2026 disposition guidance, with proceeds viewed as a preferred source for incremental repurchases. (</w:t>
      </w:r>
      <w:hyperlink r:id="rId12">
        <w:r>
          <w:rPr>
            <w:rStyle w:val="Hyperlink"/>
          </w:rPr>
          <w:t xml:space="preserve">investors.equityapartments.com</w:t>
        </w:r>
      </w:hyperlink>
      <w:r>
        <w:t xml:space="preserve">)</w:t>
      </w:r>
    </w:p>
    <w:p>
      <w:pPr>
        <w:pStyle w:val="BodyText"/>
      </w:pPr>
      <w:r>
        <w:t xml:space="preserve">Investors should ask:</w:t>
      </w:r>
    </w:p>
    <w:p>
      <w:pPr>
        <w:pStyle w:val="Compact"/>
        <w:numPr>
          <w:ilvl w:val="0"/>
          <w:numId w:val="1003"/>
        </w:numPr>
      </w:pPr>
      <w:r>
        <w:t xml:space="preserve">Did EQR complete or advance its planned dispositions?</w:t>
      </w:r>
    </w:p>
    <w:p>
      <w:pPr>
        <w:pStyle w:val="Compact"/>
        <w:numPr>
          <w:ilvl w:val="0"/>
          <w:numId w:val="1003"/>
        </w:numPr>
      </w:pPr>
      <w:r>
        <w:t xml:space="preserve">Has it repurchased additional shares at current prices?</w:t>
      </w:r>
    </w:p>
    <w:p>
      <w:pPr>
        <w:pStyle w:val="Compact"/>
        <w:numPr>
          <w:ilvl w:val="0"/>
          <w:numId w:val="1003"/>
        </w:numPr>
      </w:pPr>
      <w:r>
        <w:t xml:space="preserve">Does management still see buybacks as more attractive than private-market acquisitions?</w:t>
      </w:r>
    </w:p>
    <w:p>
      <w:pPr>
        <w:pStyle w:val="Compact"/>
        <w:numPr>
          <w:ilvl w:val="0"/>
          <w:numId w:val="1003"/>
        </w:numPr>
      </w:pPr>
      <w:r>
        <w:t xml:space="preserve">Are the recently initiated Atlanta developments still compelling relative to EQR’s stock valuation and cost of capital?</w:t>
      </w:r>
    </w:p>
    <w:p>
      <w:pPr>
        <w:pStyle w:val="FirstParagraph"/>
      </w:pPr>
      <w:r>
        <w:t xml:space="preserve">A more aggressive repurchase posture would be a positive signal, but only if accompanied by retained balance-sheet flexibility.</w:t>
      </w:r>
    </w:p>
    <w:p>
      <w:r>
        <w:pict>
          <v:rect style="width:0;height:1.5pt" o:hralign="center" o:hrstd="t" o:hr="t"/>
        </w:pict>
      </w:r>
    </w:p>
    <w:bookmarkEnd w:id="22"/>
    <w:bookmarkStart w:id="23" w:name="X3c742a6b7b9f230269fc7d658e198299d04f0a1"/>
    <w:p>
      <w:pPr>
        <w:pStyle w:val="Heading2"/>
      </w:pPr>
      <w:r>
        <w:t xml:space="preserve">Non-operating items: keep GAAP EPS in perspective</w:t>
      </w:r>
    </w:p>
    <w:p>
      <w:pPr>
        <w:pStyle w:val="FirstParagraph"/>
      </w:pPr>
      <w:r>
        <w:t xml:space="preserve">Q1 GAAP EPS was only</w:t>
      </w:r>
      <w:r>
        <w:t xml:space="preserve"> </w:t>
      </w:r>
      <m:oMath>
        <m:r>
          <m:t>0.24</m:t>
        </m:r>
        <m:r>
          <m:rPr>
            <m:sty m:val="p"/>
          </m:rPr>
          <m:t>*</m:t>
        </m:r>
        <m:r>
          <m:rPr>
            <m:sty m:val="p"/>
          </m:rPr>
          <m:t>*</m:t>
        </m:r>
        <m:r>
          <m:rPr>
            <m:sty m:val="p"/>
          </m:rPr>
          <m:t>,</m:t>
        </m:r>
        <m:r>
          <m:t>v</m:t>
        </m:r>
        <m:r>
          <m:t>e</m:t>
        </m:r>
        <m:r>
          <m:t>r</m:t>
        </m:r>
        <m:r>
          <m:t>s</m:t>
        </m:r>
        <m:r>
          <m:t>u</m:t>
        </m:r>
        <m:r>
          <m:t>s</m:t>
        </m:r>
        <m:r>
          <m:rPr>
            <m:sty m:val="p"/>
          </m:rPr>
          <m:t>*</m:t>
        </m:r>
        <m:r>
          <m:rPr>
            <m:sty m:val="p"/>
          </m:rPr>
          <m:t>*</m:t>
        </m:r>
      </m:oMath>
      <w:r>
        <w:rPr>
          <w:b/>
          <w:bCs/>
        </w:rPr>
        <w:t xml:space="preserve">0.67</w:t>
      </w:r>
      <w:r>
        <w:t xml:space="preserve"> </w:t>
      </w:r>
      <w:r>
        <w:t xml:space="preserve">a year earlier, largely because the prior-year comparison benefited from property-sale gains and because EQR recorded non-recurring legal and other items. Normalized FFO rose to</w:t>
      </w:r>
      <w:r>
        <w:t xml:space="preserve"> </w:t>
      </w:r>
      <m:oMath>
        <m:r>
          <m:t>0.99</m:t>
        </m:r>
        <m:r>
          <m:t>p</m:t>
        </m:r>
        <m:r>
          <m:t>e</m:t>
        </m:r>
        <m:r>
          <m:t>r</m:t>
        </m:r>
        <m:r>
          <m:t>s</m:t>
        </m:r>
        <m:r>
          <m:t>h</m:t>
        </m:r>
        <m:r>
          <m:t>a</m:t>
        </m:r>
        <m:r>
          <m:t>r</m:t>
        </m:r>
        <m:r>
          <m:t>e</m:t>
        </m:r>
        <m:r>
          <m:rPr>
            <m:sty m:val="p"/>
          </m:rPr>
          <m:t>*</m:t>
        </m:r>
        <m:r>
          <m:rPr>
            <m:sty m:val="p"/>
          </m:rPr>
          <m:t>*</m:t>
        </m:r>
        <m:r>
          <m:t>f</m:t>
        </m:r>
        <m:r>
          <m:t>r</m:t>
        </m:r>
        <m:r>
          <m:t>o</m:t>
        </m:r>
        <m:r>
          <m:t>m</m:t>
        </m:r>
        <m:r>
          <m:rPr>
            <m:sty m:val="p"/>
          </m:rPr>
          <m:t>*</m:t>
        </m:r>
        <m:r>
          <m:rPr>
            <m:sty m:val="p"/>
          </m:rPr>
          <m:t>*</m:t>
        </m:r>
      </m:oMath>
      <w:r>
        <w:rPr>
          <w:b/>
          <w:bCs/>
        </w:rPr>
        <w:t xml:space="preserve">0.95</w:t>
      </w:r>
      <w:r>
        <w:t xml:space="preserve">. (</w:t>
      </w:r>
      <w:hyperlink r:id="rId12">
        <w:r>
          <w:rPr>
            <w:rStyle w:val="Hyperlink"/>
          </w:rPr>
          <w:t xml:space="preserve">investors.equityapartments.com</w:t>
        </w:r>
      </w:hyperlink>
      <w:r>
        <w:t xml:space="preserve">)</w:t>
      </w:r>
    </w:p>
    <w:p>
      <w:pPr>
        <w:pStyle w:val="BodyText"/>
      </w:pPr>
      <w:r>
        <w:t xml:space="preserve">EQR also announced a</w:t>
      </w:r>
      <w:r>
        <w:t xml:space="preserve"> </w:t>
      </w:r>
      <w:r>
        <w:rPr>
          <w:b/>
          <w:bCs/>
        </w:rPr>
        <w:t xml:space="preserve">$56 million</w:t>
      </w:r>
      <w:r>
        <w:t xml:space="preserve"> </w:t>
      </w:r>
      <w:r>
        <w:t xml:space="preserve">proposed settlement in the RealPage antitrust class action. The company said the reserve would reduce Q1 GAAP earnings and FFO but</w:t>
      </w:r>
      <w:r>
        <w:t xml:space="preserve"> </w:t>
      </w:r>
      <w:r>
        <w:rPr>
          <w:b/>
          <w:bCs/>
        </w:rPr>
        <w:t xml:space="preserve">not normalized FFO</w:t>
      </w:r>
      <w:r>
        <w:t xml:space="preserve">, and that it did not expect a material effect on liquidity, credit ratings, investment plans, or operations. Court approval and remaining litigation—including the D.C. matter—remain items to monitor. (</w:t>
      </w:r>
      <w:hyperlink r:id="rId12">
        <w:r>
          <w:rPr>
            <w:rStyle w:val="Hyperlink"/>
          </w:rPr>
          <w:t xml:space="preserve">investors.equityapartments.com</w:t>
        </w:r>
      </w:hyperlink>
      <w:r>
        <w:t xml:space="preserve">)</w:t>
      </w:r>
    </w:p>
    <w:p>
      <w:pPr>
        <w:pStyle w:val="BodyText"/>
      </w:pPr>
      <w:r>
        <w:t xml:space="preserve">For the Q2 report, normalized FFO, same-store NOI, leasing data, and guidance are more decision-useful than GAAP EPS.</w:t>
      </w:r>
    </w:p>
    <w:p>
      <w:r>
        <w:pict>
          <v:rect style="width:0;height:1.5pt" o:hralign="center" o:hrstd="t" o:hr="t"/>
        </w:pict>
      </w:r>
    </w:p>
    <w:bookmarkEnd w:id="23"/>
    <w:bookmarkStart w:id="24" w:name="bottom-line"/>
    <w:p>
      <w:pPr>
        <w:pStyle w:val="Heading2"/>
      </w:pPr>
      <w:r>
        <w:t xml:space="preserve">Bottom line</w:t>
      </w:r>
    </w:p>
    <w:p>
      <w:pPr>
        <w:pStyle w:val="FirstParagraph"/>
      </w:pPr>
      <w:r>
        <w:t xml:space="preserve">EQR’s setup is favorable: occupancy is high, concession pressure is receding, renewal pricing is solid, and the company has meaningful exposure to two of the strongest large apartment markets. The challenge is that the positive thesis is increasingly reflected in expectations after the stock’s run-up.</w:t>
      </w:r>
    </w:p>
    <w:p>
      <w:pPr>
        <w:pStyle w:val="BodyText"/>
      </w:pPr>
      <w:r>
        <w:rPr>
          <w:b/>
          <w:bCs/>
        </w:rPr>
        <w:t xml:space="preserve">A constructive report would include:</w:t>
      </w:r>
    </w:p>
    <w:p>
      <w:pPr>
        <w:pStyle w:val="Compact"/>
        <w:numPr>
          <w:ilvl w:val="0"/>
          <w:numId w:val="1004"/>
        </w:numPr>
      </w:pPr>
      <w:r>
        <w:t xml:space="preserve">Normalized FFO at or above the high end of Q2 guidance;</w:t>
      </w:r>
    </w:p>
    <w:p>
      <w:pPr>
        <w:pStyle w:val="Compact"/>
        <w:numPr>
          <w:ilvl w:val="0"/>
          <w:numId w:val="1004"/>
        </w:numPr>
      </w:pPr>
      <w:r>
        <w:t xml:space="preserve">New-lease pricing approaching flat or positive;</w:t>
      </w:r>
    </w:p>
    <w:p>
      <w:pPr>
        <w:pStyle w:val="Compact"/>
        <w:numPr>
          <w:ilvl w:val="0"/>
          <w:numId w:val="1004"/>
        </w:numPr>
      </w:pPr>
      <w:r>
        <w:t xml:space="preserve">Continued strong San Francisco/New York results;</w:t>
      </w:r>
    </w:p>
    <w:p>
      <w:pPr>
        <w:pStyle w:val="Compact"/>
        <w:numPr>
          <w:ilvl w:val="0"/>
          <w:numId w:val="1004"/>
        </w:numPr>
      </w:pPr>
      <w:r>
        <w:t xml:space="preserve">Broadening recovery in D.C., Seattle, Atlanta, and Dallas;</w:t>
      </w:r>
    </w:p>
    <w:p>
      <w:pPr>
        <w:pStyle w:val="Compact"/>
        <w:numPr>
          <w:ilvl w:val="0"/>
          <w:numId w:val="1004"/>
        </w:numPr>
      </w:pPr>
      <w:r>
        <w:t xml:space="preserve">Reaffirmed or improved full-year same-store NOI and normalized FFO outlook;</w:t>
      </w:r>
    </w:p>
    <w:p>
      <w:pPr>
        <w:pStyle w:val="Compact"/>
        <w:numPr>
          <w:ilvl w:val="0"/>
          <w:numId w:val="1004"/>
        </w:numPr>
      </w:pPr>
      <w:r>
        <w:t xml:space="preserve">Evidence of disciplined capital allocation through dispositions and/or buybacks.</w:t>
      </w:r>
    </w:p>
    <w:p>
      <w:pPr>
        <w:pStyle w:val="FirstParagraph"/>
      </w:pPr>
      <w:r>
        <w:rPr>
          <w:b/>
          <w:bCs/>
        </w:rPr>
        <w:t xml:space="preserve">The bear case for the print:</w:t>
      </w:r>
    </w:p>
    <w:p>
      <w:pPr>
        <w:pStyle w:val="Compact"/>
        <w:numPr>
          <w:ilvl w:val="0"/>
          <w:numId w:val="1005"/>
        </w:numPr>
      </w:pPr>
      <w:r>
        <w:t xml:space="preserve">Strong gateway-market growth fails to broaden;</w:t>
      </w:r>
    </w:p>
    <w:p>
      <w:pPr>
        <w:pStyle w:val="Compact"/>
        <w:numPr>
          <w:ilvl w:val="0"/>
          <w:numId w:val="1005"/>
        </w:numPr>
      </w:pPr>
      <w:r>
        <w:t xml:space="preserve">New-lease pricing remains negative deeper into peak leasing season;</w:t>
      </w:r>
    </w:p>
    <w:p>
      <w:pPr>
        <w:pStyle w:val="Compact"/>
        <w:numPr>
          <w:ilvl w:val="0"/>
          <w:numId w:val="1005"/>
        </w:numPr>
      </w:pPr>
      <w:r>
        <w:t xml:space="preserve">Utilities, insurance, or other expenses prevent NOI flow-through;</w:t>
      </w:r>
    </w:p>
    <w:p>
      <w:pPr>
        <w:pStyle w:val="Compact"/>
        <w:numPr>
          <w:ilvl w:val="0"/>
          <w:numId w:val="1005"/>
        </w:numPr>
      </w:pPr>
      <w:r>
        <w:t xml:space="preserve">Full-year guidance is merely maintained with a more cautious qualitative outlook.</w:t>
      </w:r>
    </w:p>
    <w:p>
      <w:pPr>
        <w:pStyle w:val="FirstParagraph"/>
      </w:pPr>
      <w:r>
        <w:t xml:space="preserve">In short,</w:t>
      </w:r>
      <w:r>
        <w:t xml:space="preserve"> </w:t>
      </w:r>
      <w:r>
        <w:rPr>
          <w:b/>
          <w:bCs/>
        </w:rPr>
        <w:t xml:space="preserve">Q2 is likely to be judged on the credibility of EQR’s second-half revenue acceleration—not simply whether it delivers roughly $1.01 of normalized FFO.</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equityapartments.com/news-events/press-releases-news/news-details/2026/Equity-Residential-Announces-Second-Quarter-2026-Earnings-Release-Date/default.aspx?utm_source=openai" TargetMode="External" /><Relationship Type="http://schemas.openxmlformats.org/officeDocument/2006/relationships/hyperlink" Id="rId12" Target="https://investors.equityapartments.com/news-events/press-releases-news/news-details/2026/Equity-Residential-Reports-First-Quarter-2026-Results/default.aspx?utm_source=openai" TargetMode="External" /><Relationship Type="http://schemas.openxmlformats.org/officeDocument/2006/relationships/hyperlink" Id="rId14" Target="https://s1.q4cdn.com/843629197/files/doc_financials/2026/q1/eqrpr1Q26.pdf?utm_source=openai" TargetMode="External" /><Relationship Type="http://schemas.openxmlformats.org/officeDocument/2006/relationships/hyperlink" Id="rId10" Target="https://www.zacks.com/stock/news/2954906/equity-residential-to-post-q2-earnings-is-it-a-portfolio-must-have?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equityapartments.com/news-events/press-releases-news/news-details/2026/Equity-Residential-Announces-Second-Quarter-2026-Earnings-Release-Date/default.aspx?utm_source=openai" TargetMode="External" /><Relationship Type="http://schemas.openxmlformats.org/officeDocument/2006/relationships/hyperlink" Id="rId12" Target="https://investors.equityapartments.com/news-events/press-releases-news/news-details/2026/Equity-Residential-Reports-First-Quarter-2026-Results/default.aspx?utm_source=openai" TargetMode="External" /><Relationship Type="http://schemas.openxmlformats.org/officeDocument/2006/relationships/hyperlink" Id="rId14" Target="https://s1.q4cdn.com/843629197/files/doc_financials/2026/q1/eqrpr1Q26.pdf?utm_source=openai" TargetMode="External" /><Relationship Type="http://schemas.openxmlformats.org/officeDocument/2006/relationships/hyperlink" Id="rId10" Target="https://www.zacks.com/stock/news/2954906/equity-residential-to-post-q2-earnings-is-it-a-portfolio-must-have?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2026-07-22T00:52:55Z</dcterms:created>
  <dcterms:modified xsi:type="dcterms:W3CDTF">2026-07-22T00:52:55Z</dcterms:modified>
</cp:coreProperties>
</file>

<file path=docProps/custom.xml><?xml version="1.0" encoding="utf-8"?>
<Properties xmlns="http://schemas.openxmlformats.org/officeDocument/2006/custom-properties" xmlns:vt="http://schemas.openxmlformats.org/officeDocument/2006/docPropsVTypes"/>
</file>