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Equity Residential (EQR)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Equity Residential</w:t>
            </w:r>
          </w:p>
        </w:tc>
      </w:tr>
      <w:tr>
        <w:tc>
          <w:tcPr>
            <w:tcW w:type="dxa" w:w="4320"/>
          </w:tcPr>
          <w:p>
            <w:r>
              <w:rPr>
                <w:rFonts w:ascii="Calibri" w:hAnsi="Calibri"/>
                <w:b/>
                <w:sz w:val="22"/>
              </w:rPr>
              <w:t>Ticker</w:t>
            </w:r>
          </w:p>
        </w:tc>
        <w:tc>
          <w:tcPr>
            <w:tcW w:type="dxa" w:w="4320"/>
          </w:tcPr>
          <w:p>
            <w:r>
              <w:rPr>
                <w:rFonts w:ascii="Calibri" w:hAnsi="Calibri"/>
                <w:sz w:val="22"/>
              </w:rPr>
              <w:t>EQR</w:t>
            </w:r>
          </w:p>
        </w:tc>
      </w:tr>
      <w:tr>
        <w:tc>
          <w:tcPr>
            <w:tcW w:type="dxa" w:w="4320"/>
          </w:tcPr>
          <w:p>
            <w:r>
              <w:rPr>
                <w:rFonts w:ascii="Calibri" w:hAnsi="Calibri"/>
                <w:b/>
                <w:sz w:val="22"/>
              </w:rPr>
              <w:t>Reporting Period</w:t>
            </w:r>
          </w:p>
        </w:tc>
        <w:tc>
          <w:tcPr>
            <w:tcW w:type="dxa" w:w="4320"/>
          </w:tcPr>
          <w:p>
            <w:r>
              <w:rPr>
                <w:rFonts w:ascii="Calibri" w:hAnsi="Calibri"/>
                <w:sz w:val="22"/>
              </w:rPr>
              <w:t>Q2 2026 (2QFY-2026,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(exact date TBC)</w:t>
            </w:r>
          </w:p>
        </w:tc>
      </w:tr>
      <w:tr>
        <w:tc>
          <w:tcPr>
            <w:tcW w:type="dxa" w:w="4320"/>
          </w:tcPr>
          <w:p>
            <w:r>
              <w:rPr>
                <w:rFonts w:ascii="Calibri" w:hAnsi="Calibri"/>
                <w:b/>
                <w:sz w:val="22"/>
              </w:rPr>
              <w:t>Last Earnings Date</w:t>
            </w:r>
          </w:p>
        </w:tc>
        <w:tc>
          <w:tcPr>
            <w:tcW w:type="dxa" w:w="4320"/>
          </w:tcPr>
          <w:p>
            <w:r>
              <w:rPr>
                <w:rFonts w:ascii="Calibri" w:hAnsi="Calibri"/>
                <w:sz w:val="22"/>
              </w:rPr>
              <w:t>April 28, 2026 (Q1 2026)</w:t>
            </w:r>
          </w:p>
        </w:tc>
      </w:tr>
      <w:tr>
        <w:tc>
          <w:tcPr>
            <w:tcW w:type="dxa" w:w="4320"/>
          </w:tcPr>
          <w:p>
            <w:r>
              <w:rPr>
                <w:rFonts w:ascii="Calibri" w:hAnsi="Calibri"/>
                <w:b/>
                <w:sz w:val="22"/>
              </w:rPr>
              <w:t>Prepared Date</w:t>
            </w:r>
          </w:p>
        </w:tc>
        <w:tc>
          <w:tcPr>
            <w:tcW w:type="dxa" w:w="4320"/>
          </w:tcPr>
          <w:p>
            <w:r>
              <w:rPr>
                <w:rFonts w:ascii="Calibri" w:hAnsi="Calibri"/>
                <w:sz w:val="22"/>
              </w:rPr>
              <w:t>July 21, 2026</w:t>
            </w:r>
          </w:p>
        </w:tc>
      </w:tr>
      <w:tr>
        <w:tc>
          <w:tcPr>
            <w:tcW w:type="dxa" w:w="4320"/>
          </w:tcPr>
          <w:p>
            <w:r>
              <w:rPr>
                <w:rFonts w:ascii="Calibri" w:hAnsi="Calibri"/>
                <w:b/>
                <w:sz w:val="22"/>
              </w:rPr>
              <w:t>Sector / Sub-Sector</w:t>
            </w:r>
          </w:p>
        </w:tc>
        <w:tc>
          <w:tcPr>
            <w:tcW w:type="dxa" w:w="4320"/>
          </w:tcPr>
          <w:p>
            <w:r>
              <w:rPr>
                <w:rFonts w:ascii="Calibri" w:hAnsi="Calibri"/>
                <w:sz w:val="22"/>
              </w:rPr>
              <w:t>REIT — Residential (Apartment)</w:t>
            </w:r>
          </w:p>
        </w:tc>
      </w:tr>
      <w:tr>
        <w:tc>
          <w:tcPr>
            <w:tcW w:type="dxa" w:w="4320"/>
          </w:tcPr>
          <w:p>
            <w:r>
              <w:rPr>
                <w:rFonts w:ascii="Calibri" w:hAnsi="Calibri"/>
                <w:b/>
                <w:sz w:val="22"/>
              </w:rPr>
              <w:t>Primary Valuation KPI</w:t>
            </w:r>
          </w:p>
        </w:tc>
        <w:tc>
          <w:tcPr>
            <w:tcW w:type="dxa" w:w="4320"/>
          </w:tcPr>
          <w:p>
            <w:r>
              <w:rPr>
                <w:rFonts w:ascii="Calibri" w:hAnsi="Calibri"/>
                <w:sz w:val="22"/>
              </w:rPr>
              <w:t>Normalized FFO per Share (Diluted)</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and the peak leasing season tailwinds (record-low turnover, declining supply, strong renewal pricing) are the primary swing factor, but macro uncertainty and D.C./Seattle softness keep the outcome binary.</w:t>
      </w:r>
    </w:p>
    <w:p>
      <w:r>
        <w:rPr>
          <w:rFonts w:ascii="Calibri" w:hAnsi="Calibri"/>
          <w:color w:val="525866"/>
          <w:sz w:val="22"/>
        </w:rPr>
        <w:t xml:space="preserve">Heading into Q2 2026, EQR enters the print with a </w:t>
      </w:r>
      <w:r>
        <w:rPr>
          <w:rFonts w:ascii="Calibri" w:hAnsi="Calibri"/>
          <w:b/>
          <w:color w:val="525866"/>
          <w:sz w:val="22"/>
        </w:rPr>
        <w:t>favorable supply backdrop</w:t>
      </w:r>
      <w:r>
        <w:rPr>
          <w:rFonts w:ascii="Calibri" w:hAnsi="Calibri"/>
          <w:color w:val="525866"/>
          <w:sz w:val="22"/>
        </w:rPr>
        <w:t xml:space="preserve"> — deliveries across its markets are down ~35% year-over-year — and record-low resident turnover that has supported occupancy firmly above 96%, giving management confidence in renewal pricing of ~5% through peak season. Consensus Normalized FFO of </w:t>
      </w:r>
      <w:r>
        <w:rPr>
          <w:rFonts w:ascii="Calibri" w:hAnsi="Calibri"/>
          <w:b/>
          <w:color w:val="525866"/>
          <w:sz w:val="22"/>
        </w:rPr>
        <w:t>$1.01 per share</w:t>
      </w:r>
      <w:r>
        <w:rPr>
          <w:rFonts w:ascii="Calibri" w:hAnsi="Calibri"/>
          <w:color w:val="525866"/>
          <w:sz w:val="22"/>
        </w:rPr>
        <w:t xml:space="preserve"> and same-store revenue growth of </w:t>
      </w:r>
      <w:r>
        <w:rPr>
          <w:rFonts w:ascii="Calibri" w:hAnsi="Calibri"/>
          <w:b/>
          <w:color w:val="525866"/>
          <w:sz w:val="22"/>
        </w:rPr>
        <w:t>~2.2% YoY</w:t>
      </w:r>
      <w:r>
        <w:rPr>
          <w:rFonts w:ascii="Calibri" w:hAnsi="Calibri"/>
          <w:color w:val="525866"/>
          <w:sz w:val="22"/>
        </w:rPr>
        <w:t xml:space="preserve"> represent a modest bar that management’s own Q1 commentary — “we love the setup heading into the peak leasing season” — suggests is achievable, though guidance was deliberately left unchanged given early-season uncertainty. Estimate revisions since the Q1 print have been essentially flat on FFO (moving from $1.007 to $1.012) while same-store revenue estimates have drifted slightly lower (~2.35% to ~2.17%), reflecting lingering caution on new lease change trajectory in D.C. and Seattle. The stock has rallied ~10% since the Q1 print (vs. ~5% for the S&amp;P 500 and ~11% for the residential REIT ETF REZ), suggesting the market has partially priced in a solid leasing season but has not yet fully re-rated the stock to reflect the 2026–2027 supply tailwind thesis. The key wildcard is </w:t>
      </w:r>
      <w:r>
        <w:rPr>
          <w:rFonts w:ascii="Calibri" w:hAnsi="Calibri"/>
          <w:b/>
          <w:color w:val="525866"/>
          <w:sz w:val="22"/>
        </w:rPr>
        <w:t>new lease change momentum</w:t>
      </w:r>
      <w:r>
        <w:rPr>
          <w:rFonts w:ascii="Calibri" w:hAnsi="Calibri"/>
          <w:color w:val="525866"/>
          <w:sz w:val="22"/>
        </w:rPr>
        <w:t>: management guided Q2 new lease change to build sequentially toward flat from the negative-1% Q1 level — any upside surprise there (particularly in San Francisco and New York) could drive a meaningful beat and positive guidance revision, while a stall in momentum (driven by macro softness or D.C. consumer confidence) would pressure the stock.</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FFO (~$1.01/share) and same-store revenue growth (~2.2% YoY); the bigger swing factor is </w:t>
      </w:r>
      <w:r>
        <w:rPr>
          <w:rFonts w:ascii="Calibri" w:hAnsi="Calibri"/>
          <w:b/>
          <w:color w:val="525866"/>
          <w:sz w:val="22"/>
        </w:rPr>
        <w:t>blended lease rate growth</w:t>
      </w:r>
      <w:r>
        <w:rPr>
          <w:rFonts w:ascii="Calibri" w:hAnsi="Calibri"/>
          <w:color w:val="525866"/>
          <w:sz w:val="22"/>
        </w:rPr>
        <w:t xml:space="preserve"> (~3.0% consensus), where any upside from peak-season new lease acceleration could drive a beat, while D.C./Seattle softness is the primary downside risk.</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(Q1 2026 Call)</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Normalized FFO per Share — Diluted ($)</w:t>
            </w:r>
          </w:p>
        </w:tc>
        <w:tc>
          <w:tcPr>
            <w:tcW w:type="dxa" w:w="1234"/>
          </w:tcPr>
          <w:p>
            <w:r>
              <w:rPr>
                <w:rFonts w:ascii="Calibri" w:hAnsi="Calibri"/>
                <w:sz w:val="22"/>
              </w:rPr>
              <w:t>$0.99</w:t>
            </w:r>
          </w:p>
        </w:tc>
        <w:tc>
          <w:tcPr>
            <w:tcW w:type="dxa" w:w="1234"/>
          </w:tcPr>
          <w:p>
            <w:r>
              <w:rPr>
                <w:rFonts w:ascii="Calibri" w:hAnsi="Calibri"/>
                <w:sz w:val="22"/>
              </w:rPr>
              <w:t>$0.99</w:t>
            </w:r>
          </w:p>
        </w:tc>
        <w:tc>
          <w:tcPr>
            <w:tcW w:type="dxa" w:w="1234"/>
          </w:tcPr>
          <w:p>
            <w:r>
              <w:rPr>
                <w:rFonts w:ascii="Calibri" w:hAnsi="Calibri"/>
                <w:sz w:val="22"/>
              </w:rPr>
              <w:t>$1.01</w:t>
            </w:r>
          </w:p>
        </w:tc>
        <w:tc>
          <w:tcPr>
            <w:tcW w:type="dxa" w:w="1234"/>
          </w:tcPr>
          <w:p>
            <w:r>
              <w:rPr>
                <w:rFonts w:ascii="Calibri" w:hAnsi="Calibri"/>
                <w:sz w:val="22"/>
              </w:rPr>
              <w:t>+2.2%</w:t>
            </w:r>
          </w:p>
        </w:tc>
        <w:tc>
          <w:tcPr>
            <w:tcW w:type="dxa" w:w="1234"/>
          </w:tcPr>
          <w:p>
            <w:r>
              <w:rPr>
                <w:rFonts w:ascii="Calibri" w:hAnsi="Calibri"/>
                <w:sz w:val="22"/>
              </w:rPr>
              <w:t>No explicit Q2 guidance provided; FY 2026 guidance maintained</w:t>
            </w:r>
          </w:p>
        </w:tc>
        <w:tc>
          <w:tcPr>
            <w:tcW w:type="dxa" w:w="1234"/>
          </w:tcPr>
          <w:p>
            <w:r>
              <w:rPr>
                <w:rFonts w:ascii="Calibri" w:hAnsi="Calibri"/>
                <w:sz w:val="22"/>
              </w:rPr>
              <w:t>N/A (no Q2 point guidance)</w:t>
            </w:r>
          </w:p>
        </w:tc>
      </w:tr>
      <w:tr>
        <w:tc>
          <w:tcPr>
            <w:tcW w:type="dxa" w:w="1234"/>
          </w:tcPr>
          <w:p>
            <w:r>
              <w:rPr>
                <w:rFonts w:ascii="Calibri" w:hAnsi="Calibri"/>
                <w:sz w:val="22"/>
              </w:rPr>
              <w:t>Same-Store Revenue Growth YoY (%)</w:t>
            </w:r>
          </w:p>
        </w:tc>
        <w:tc>
          <w:tcPr>
            <w:tcW w:type="dxa" w:w="1234"/>
          </w:tcPr>
          <w:p>
            <w:r>
              <w:rPr>
                <w:rFonts w:ascii="Calibri" w:hAnsi="Calibri"/>
                <w:sz w:val="22"/>
              </w:rPr>
              <w:t>2.2%</w:t>
            </w:r>
          </w:p>
        </w:tc>
        <w:tc>
          <w:tcPr>
            <w:tcW w:type="dxa" w:w="1234"/>
          </w:tcPr>
          <w:p>
            <w:r>
              <w:rPr>
                <w:rFonts w:ascii="Calibri" w:hAnsi="Calibri"/>
                <w:sz w:val="22"/>
              </w:rPr>
              <w:t>2.9%</w:t>
            </w:r>
          </w:p>
        </w:tc>
        <w:tc>
          <w:tcPr>
            <w:tcW w:type="dxa" w:w="1234"/>
          </w:tcPr>
          <w:p>
            <w:r>
              <w:rPr>
                <w:rFonts w:ascii="Calibri" w:hAnsi="Calibri"/>
                <w:sz w:val="22"/>
              </w:rPr>
              <w:t>2.2%</w:t>
            </w:r>
          </w:p>
        </w:tc>
        <w:tc>
          <w:tcPr>
            <w:tcW w:type="dxa" w:w="1234"/>
          </w:tcPr>
          <w:p>
            <w:r>
              <w:rPr>
                <w:rFonts w:ascii="Calibri" w:hAnsi="Calibri"/>
                <w:sz w:val="22"/>
              </w:rPr>
              <w:t>-0.7 pp</w:t>
            </w:r>
          </w:p>
        </w:tc>
        <w:tc>
          <w:tcPr>
            <w:tcW w:type="dxa" w:w="1234"/>
          </w:tcPr>
          <w:p>
            <w:r>
              <w:rPr>
                <w:rFonts w:ascii="Calibri" w:hAnsi="Calibri"/>
                <w:sz w:val="22"/>
              </w:rPr>
              <w:t>Sequential build expected; full-year 1.5%–3.0% blended rate growth maintained</w:t>
            </w:r>
          </w:p>
        </w:tc>
        <w:tc>
          <w:tcPr>
            <w:tcW w:type="dxa" w:w="1234"/>
          </w:tcPr>
          <w:p>
            <w:r>
              <w:rPr>
                <w:rFonts w:ascii="Calibri" w:hAnsi="Calibri"/>
                <w:sz w:val="22"/>
              </w:rPr>
              <w:t>In line with guidance range</w:t>
            </w:r>
          </w:p>
        </w:tc>
      </w:tr>
      <w:tr>
        <w:tc>
          <w:tcPr>
            <w:tcW w:type="dxa" w:w="1234"/>
          </w:tcPr>
          <w:p>
            <w:r>
              <w:rPr>
                <w:rFonts w:ascii="Calibri" w:hAnsi="Calibri"/>
                <w:sz w:val="22"/>
              </w:rPr>
              <w:t>Same-Store NOI Growth YoY (%)</w:t>
            </w:r>
          </w:p>
        </w:tc>
        <w:tc>
          <w:tcPr>
            <w:tcW w:type="dxa" w:w="1234"/>
          </w:tcPr>
          <w:p>
            <w:r>
              <w:rPr>
                <w:rFonts w:ascii="Calibri" w:hAnsi="Calibri"/>
                <w:sz w:val="22"/>
              </w:rPr>
              <w:t>1.4%</w:t>
            </w:r>
          </w:p>
        </w:tc>
        <w:tc>
          <w:tcPr>
            <w:tcW w:type="dxa" w:w="1234"/>
          </w:tcPr>
          <w:p>
            <w:r>
              <w:rPr>
                <w:rFonts w:ascii="Calibri" w:hAnsi="Calibri"/>
                <w:sz w:val="22"/>
              </w:rPr>
              <w:t>2.3%</w:t>
            </w:r>
          </w:p>
        </w:tc>
        <w:tc>
          <w:tcPr>
            <w:tcW w:type="dxa" w:w="1234"/>
          </w:tcPr>
          <w:p>
            <w:r>
              <w:rPr>
                <w:rFonts w:ascii="Calibri" w:hAnsi="Calibri"/>
                <w:sz w:val="22"/>
              </w:rPr>
              <w:t>1.4%</w:t>
            </w:r>
          </w:p>
        </w:tc>
        <w:tc>
          <w:tcPr>
            <w:tcW w:type="dxa" w:w="1234"/>
          </w:tcPr>
          <w:p>
            <w:r>
              <w:rPr>
                <w:rFonts w:ascii="Calibri" w:hAnsi="Calibri"/>
                <w:sz w:val="22"/>
              </w:rPr>
              <w:t>-0.9 pp</w:t>
            </w:r>
          </w:p>
        </w:tc>
        <w:tc>
          <w:tcPr>
            <w:tcW w:type="dxa" w:w="1234"/>
          </w:tcPr>
          <w:p>
            <w:r>
              <w:rPr>
                <w:rFonts w:ascii="Calibri" w:hAnsi="Calibri"/>
                <w:sz w:val="22"/>
              </w:rPr>
              <w:t>No explicit Q2 guidance; full-year guidance maintained</w:t>
            </w:r>
          </w:p>
        </w:tc>
        <w:tc>
          <w:tcPr>
            <w:tcW w:type="dxa" w:w="1234"/>
          </w:tcPr>
          <w:p>
            <w:r>
              <w:rPr>
                <w:rFonts w:ascii="Calibri" w:hAnsi="Calibri"/>
                <w:sz w:val="22"/>
              </w:rPr>
              <w:t>N/A</w:t>
            </w:r>
          </w:p>
        </w:tc>
      </w:tr>
      <w:tr>
        <w:tc>
          <w:tcPr>
            <w:tcW w:type="dxa" w:w="1234"/>
          </w:tcPr>
          <w:p>
            <w:r>
              <w:rPr>
                <w:rFonts w:ascii="Calibri" w:hAnsi="Calibri"/>
                <w:sz w:val="22"/>
              </w:rPr>
              <w:t>Effective Blended Lease Rate — Same Store (%)</w:t>
            </w:r>
          </w:p>
        </w:tc>
        <w:tc>
          <w:tcPr>
            <w:tcW w:type="dxa" w:w="1234"/>
          </w:tcPr>
          <w:p>
            <w:r>
              <w:rPr>
                <w:rFonts w:ascii="Calibri" w:hAnsi="Calibri"/>
                <w:sz w:val="22"/>
              </w:rPr>
              <w:t>1.5%</w:t>
            </w:r>
          </w:p>
        </w:tc>
        <w:tc>
          <w:tcPr>
            <w:tcW w:type="dxa" w:w="1234"/>
          </w:tcPr>
          <w:p>
            <w:r>
              <w:rPr>
                <w:rFonts w:ascii="Calibri" w:hAnsi="Calibri"/>
                <w:sz w:val="22"/>
              </w:rPr>
              <w:t>3.0%</w:t>
            </w:r>
          </w:p>
        </w:tc>
        <w:tc>
          <w:tcPr>
            <w:tcW w:type="dxa" w:w="1234"/>
          </w:tcPr>
          <w:p>
            <w:r>
              <w:rPr>
                <w:rFonts w:ascii="Calibri" w:hAnsi="Calibri"/>
                <w:sz w:val="22"/>
              </w:rPr>
              <w:t>3.0%</w:t>
            </w:r>
          </w:p>
        </w:tc>
        <w:tc>
          <w:tcPr>
            <w:tcW w:type="dxa" w:w="1234"/>
          </w:tcPr>
          <w:p>
            <w:r>
              <w:rPr>
                <w:rFonts w:ascii="Calibri" w:hAnsi="Calibri"/>
                <w:sz w:val="22"/>
              </w:rPr>
              <w:t>0.0 pp</w:t>
            </w:r>
          </w:p>
        </w:tc>
        <w:tc>
          <w:tcPr>
            <w:tcW w:type="dxa" w:w="1234"/>
          </w:tcPr>
          <w:p>
            <w:r>
              <w:rPr>
                <w:rFonts w:ascii="Calibri" w:hAnsi="Calibri"/>
                <w:sz w:val="22"/>
              </w:rPr>
              <w:t>Full-year 1.5%–3.0%; new lease change building toward flat; renewals ~5%</w:t>
            </w:r>
          </w:p>
        </w:tc>
        <w:tc>
          <w:tcPr>
            <w:tcW w:type="dxa" w:w="1234"/>
          </w:tcPr>
          <w:p>
            <w:r>
              <w:rPr>
                <w:rFonts w:ascii="Calibri" w:hAnsi="Calibri"/>
                <w:sz w:val="22"/>
              </w:rPr>
              <w:t>At top of guidance range</w:t>
            </w:r>
          </w:p>
        </w:tc>
      </w:tr>
      <w:tr>
        <w:tc>
          <w:tcPr>
            <w:tcW w:type="dxa" w:w="1234"/>
          </w:tcPr>
          <w:p>
            <w:r>
              <w:rPr>
                <w:rFonts w:ascii="Calibri" w:hAnsi="Calibri"/>
                <w:sz w:val="22"/>
              </w:rPr>
              <w:t>Same-Store Occupancy Rate (%)</w:t>
            </w:r>
          </w:p>
        </w:tc>
        <w:tc>
          <w:tcPr>
            <w:tcW w:type="dxa" w:w="1234"/>
          </w:tcPr>
          <w:p>
            <w:r>
              <w:rPr>
                <w:rFonts w:ascii="Calibri" w:hAnsi="Calibri"/>
                <w:sz w:val="22"/>
              </w:rPr>
              <w:t>96.5%</w:t>
            </w:r>
          </w:p>
        </w:tc>
        <w:tc>
          <w:tcPr>
            <w:tcW w:type="dxa" w:w="1234"/>
          </w:tcPr>
          <w:p>
            <w:r>
              <w:rPr>
                <w:rFonts w:ascii="Calibri" w:hAnsi="Calibri"/>
                <w:sz w:val="22"/>
              </w:rPr>
              <w:t>96.6%</w:t>
            </w:r>
          </w:p>
        </w:tc>
        <w:tc>
          <w:tcPr>
            <w:tcW w:type="dxa" w:w="1234"/>
          </w:tcPr>
          <w:p>
            <w:r>
              <w:rPr>
                <w:rFonts w:ascii="Calibri" w:hAnsi="Calibri"/>
                <w:sz w:val="22"/>
              </w:rPr>
              <w:t>96.5%</w:t>
            </w:r>
          </w:p>
        </w:tc>
        <w:tc>
          <w:tcPr>
            <w:tcW w:type="dxa" w:w="1234"/>
          </w:tcPr>
          <w:p>
            <w:r>
              <w:rPr>
                <w:rFonts w:ascii="Calibri" w:hAnsi="Calibri"/>
                <w:sz w:val="22"/>
              </w:rPr>
              <w:t>-0.1 pp</w:t>
            </w:r>
          </w:p>
        </w:tc>
        <w:tc>
          <w:tcPr>
            <w:tcW w:type="dxa" w:w="1234"/>
          </w:tcPr>
          <w:p>
            <w:r>
              <w:rPr>
                <w:rFonts w:ascii="Calibri" w:hAnsi="Calibri"/>
                <w:sz w:val="22"/>
              </w:rPr>
              <w:t>Mid-96% range; “more than 96% occupied” entering Q2</w:t>
            </w:r>
          </w:p>
        </w:tc>
        <w:tc>
          <w:tcPr>
            <w:tcW w:type="dxa" w:w="1234"/>
          </w:tcPr>
          <w:p>
            <w:r>
              <w:rPr>
                <w:rFonts w:ascii="Calibri" w:hAnsi="Calibri"/>
                <w:sz w:val="22"/>
              </w:rPr>
              <w:t>In line with guidance</w:t>
            </w:r>
          </w:p>
        </w:tc>
      </w:tr>
      <w:tr>
        <w:tc>
          <w:tcPr>
            <w:tcW w:type="dxa" w:w="1234"/>
          </w:tcPr>
          <w:p>
            <w:r>
              <w:rPr>
                <w:rFonts w:ascii="Calibri" w:hAnsi="Calibri"/>
                <w:sz w:val="22"/>
              </w:rPr>
              <w:t>Same-Store Revenue ($M)</w:t>
            </w:r>
          </w:p>
        </w:tc>
        <w:tc>
          <w:tcPr>
            <w:tcW w:type="dxa" w:w="1234"/>
          </w:tcPr>
          <w:p>
            <w:r>
              <w:rPr>
                <w:rFonts w:ascii="Calibri" w:hAnsi="Calibri"/>
                <w:sz w:val="22"/>
              </w:rPr>
              <w:t>$746.5M</w:t>
            </w:r>
          </w:p>
        </w:tc>
        <w:tc>
          <w:tcPr>
            <w:tcW w:type="dxa" w:w="1234"/>
          </w:tcPr>
          <w:p>
            <w:r>
              <w:rPr>
                <w:rFonts w:ascii="Calibri" w:hAnsi="Calibri"/>
                <w:sz w:val="22"/>
              </w:rPr>
              <w:t>$738.0M</w:t>
            </w:r>
          </w:p>
        </w:tc>
        <w:tc>
          <w:tcPr>
            <w:tcW w:type="dxa" w:w="1234"/>
          </w:tcPr>
          <w:p>
            <w:r>
              <w:rPr>
                <w:rFonts w:ascii="Calibri" w:hAnsi="Calibri"/>
                <w:sz w:val="22"/>
              </w:rPr>
              <w:t>$755.4M</w:t>
            </w:r>
          </w:p>
        </w:tc>
        <w:tc>
          <w:tcPr>
            <w:tcW w:type="dxa" w:w="1234"/>
          </w:tcPr>
          <w:p>
            <w:r>
              <w:rPr>
                <w:rFonts w:ascii="Calibri" w:hAnsi="Calibri"/>
                <w:sz w:val="22"/>
              </w:rPr>
              <w:t>+2.4%</w:t>
            </w:r>
          </w:p>
        </w:tc>
        <w:tc>
          <w:tcPr>
            <w:tcW w:type="dxa" w:w="1234"/>
          </w:tcPr>
          <w:p>
            <w:r>
              <w:rPr>
                <w:rFonts w:ascii="Calibri" w:hAnsi="Calibri"/>
                <w:sz w:val="22"/>
              </w:rPr>
              <w:t>No explicit Q2 dollar guidance</w:t>
            </w:r>
          </w:p>
        </w:tc>
        <w:tc>
          <w:tcPr>
            <w:tcW w:type="dxa" w:w="1234"/>
          </w:tcPr>
          <w:p>
            <w:r>
              <w:rPr>
                <w:rFonts w:ascii="Calibri" w:hAnsi="Calibri"/>
                <w:sz w:val="22"/>
              </w:rPr>
              <w:t>N/A</w:t>
            </w:r>
          </w:p>
        </w:tc>
      </w:tr>
      <w:tr>
        <w:tc>
          <w:tcPr>
            <w:tcW w:type="dxa" w:w="1234"/>
          </w:tcPr>
          <w:p>
            <w:r>
              <w:rPr>
                <w:rFonts w:ascii="Calibri" w:hAnsi="Calibri"/>
                <w:sz w:val="22"/>
              </w:rPr>
              <w:t>Same-Store NOI ($M)</w:t>
            </w:r>
          </w:p>
        </w:tc>
        <w:tc>
          <w:tcPr>
            <w:tcW w:type="dxa" w:w="1234"/>
          </w:tcPr>
          <w:p>
            <w:r>
              <w:rPr>
                <w:rFonts w:ascii="Calibri" w:hAnsi="Calibri"/>
                <w:sz w:val="22"/>
              </w:rPr>
              <w:t>$497.9M</w:t>
            </w:r>
          </w:p>
        </w:tc>
        <w:tc>
          <w:tcPr>
            <w:tcW w:type="dxa" w:w="1234"/>
          </w:tcPr>
          <w:p>
            <w:r>
              <w:rPr>
                <w:rFonts w:ascii="Calibri" w:hAnsi="Calibri"/>
                <w:sz w:val="22"/>
              </w:rPr>
              <w:t>$504.0M</w:t>
            </w:r>
          </w:p>
        </w:tc>
        <w:tc>
          <w:tcPr>
            <w:tcW w:type="dxa" w:w="1234"/>
          </w:tcPr>
          <w:p>
            <w:r>
              <w:rPr>
                <w:rFonts w:ascii="Calibri" w:hAnsi="Calibri"/>
                <w:sz w:val="22"/>
              </w:rPr>
              <w:t>$511.7M</w:t>
            </w:r>
          </w:p>
        </w:tc>
        <w:tc>
          <w:tcPr>
            <w:tcW w:type="dxa" w:w="1234"/>
          </w:tcPr>
          <w:p>
            <w:r>
              <w:rPr>
                <w:rFonts w:ascii="Calibri" w:hAnsi="Calibri"/>
                <w:sz w:val="22"/>
              </w:rPr>
              <w:t>+1.5%</w:t>
            </w:r>
          </w:p>
        </w:tc>
        <w:tc>
          <w:tcPr>
            <w:tcW w:type="dxa" w:w="1234"/>
          </w:tcPr>
          <w:p>
            <w:r>
              <w:rPr>
                <w:rFonts w:ascii="Calibri" w:hAnsi="Calibri"/>
                <w:sz w:val="22"/>
              </w:rPr>
              <w:t>No explicit Q2 dollar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Actual for occupancy taken from company’s reported earnings release. All consensus figures as of July 21, 2026.</w:t>
      </w:r>
    </w:p>
    <w:p>
      <w:pPr>
        <w:pStyle w:val="Heading2"/>
      </w:pPr>
      <w:r>
        <w:rPr>
          <w:rFonts w:ascii="Calibri" w:hAnsi="Calibri"/>
          <w:b/>
          <w:color w:val="3B4259"/>
          <w:sz w:val="28"/>
        </w:rPr>
        <w:t>Table 2 — Beat/Miss History (Last 8 Quarters)</w:t>
      </w:r>
    </w:p>
    <w:p>
      <w:pPr>
        <w:pStyle w:val="Heading3"/>
      </w:pPr>
      <w:r>
        <w:rPr>
          <w:rFonts w:ascii="Calibri" w:hAnsi="Calibri"/>
          <w:b/>
          <w:color w:val="3B4259"/>
          <w:sz w:val="24"/>
        </w:rPr>
        <w:t>Top KPI #1: Normalized FFO per Share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$0.97</w:t>
            </w:r>
          </w:p>
        </w:tc>
        <w:tc>
          <w:tcPr>
            <w:tcW w:type="dxa" w:w="1728"/>
          </w:tcPr>
          <w:p>
            <w:r>
              <w:rPr>
                <w:rFonts w:ascii="Calibri" w:hAnsi="Calibri"/>
                <w:sz w:val="22"/>
              </w:rPr>
              <w:t>$0.958</w:t>
            </w:r>
          </w:p>
        </w:tc>
        <w:tc>
          <w:tcPr>
            <w:tcW w:type="dxa" w:w="1728"/>
          </w:tcPr>
          <w:p>
            <w:r>
              <w:rPr>
                <w:rFonts w:ascii="Calibri" w:hAnsi="Calibri"/>
                <w:b/>
                <w:color w:val="30A46C"/>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$0.98</w:t>
            </w:r>
          </w:p>
        </w:tc>
        <w:tc>
          <w:tcPr>
            <w:tcW w:type="dxa" w:w="1728"/>
          </w:tcPr>
          <w:p>
            <w:r>
              <w:rPr>
                <w:rFonts w:ascii="Calibri" w:hAnsi="Calibri"/>
                <w:sz w:val="22"/>
              </w:rPr>
              <w:t>$0.980</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$1.00</w:t>
            </w:r>
          </w:p>
        </w:tc>
        <w:tc>
          <w:tcPr>
            <w:tcW w:type="dxa" w:w="1728"/>
          </w:tcPr>
          <w:p>
            <w:r>
              <w:rPr>
                <w:rFonts w:ascii="Calibri" w:hAnsi="Calibri"/>
                <w:sz w:val="22"/>
              </w:rPr>
              <w:t>$1.005</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$0.95</w:t>
            </w:r>
          </w:p>
        </w:tc>
        <w:tc>
          <w:tcPr>
            <w:tcW w:type="dxa" w:w="1728"/>
          </w:tcPr>
          <w:p>
            <w:r>
              <w:rPr>
                <w:rFonts w:ascii="Calibri" w:hAnsi="Calibri"/>
                <w:sz w:val="22"/>
              </w:rPr>
              <w:t>$0.935</w:t>
            </w:r>
          </w:p>
        </w:tc>
        <w:tc>
          <w:tcPr>
            <w:tcW w:type="dxa" w:w="1728"/>
          </w:tcPr>
          <w:p>
            <w:r>
              <w:rPr>
                <w:rFonts w:ascii="Calibri" w:hAnsi="Calibri"/>
                <w:b/>
                <w:color w:val="30A46C"/>
                <w:sz w:val="22"/>
              </w:rPr>
              <w:t>+1.6%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$0.99</w:t>
            </w:r>
          </w:p>
        </w:tc>
        <w:tc>
          <w:tcPr>
            <w:tcW w:type="dxa" w:w="1728"/>
          </w:tcPr>
          <w:p>
            <w:r>
              <w:rPr>
                <w:rFonts w:ascii="Calibri" w:hAnsi="Calibri"/>
                <w:sz w:val="22"/>
              </w:rPr>
              <w:t>$0.982</w:t>
            </w:r>
          </w:p>
        </w:tc>
        <w:tc>
          <w:tcPr>
            <w:tcW w:type="dxa" w:w="1728"/>
          </w:tcPr>
          <w:p>
            <w:r>
              <w:rPr>
                <w:rFonts w:ascii="Calibri" w:hAnsi="Calibri"/>
                <w:b/>
                <w:color w:val="30A46C"/>
                <w:sz w:val="22"/>
              </w:rPr>
              <w:t>+0.8%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$1.02</w:t>
            </w:r>
          </w:p>
        </w:tc>
        <w:tc>
          <w:tcPr>
            <w:tcW w:type="dxa" w:w="1728"/>
          </w:tcPr>
          <w:p>
            <w:r>
              <w:rPr>
                <w:rFonts w:ascii="Calibri" w:hAnsi="Calibri"/>
                <w:sz w:val="22"/>
              </w:rPr>
              <w:t>$1.010</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$1.03</w:t>
            </w:r>
          </w:p>
        </w:tc>
        <w:tc>
          <w:tcPr>
            <w:tcW w:type="dxa" w:w="1728"/>
          </w:tcPr>
          <w:p>
            <w:r>
              <w:rPr>
                <w:rFonts w:ascii="Calibri" w:hAnsi="Calibri"/>
                <w:sz w:val="22"/>
              </w:rPr>
              <w:t>$1.035</w:t>
            </w:r>
          </w:p>
        </w:tc>
        <w:tc>
          <w:tcPr>
            <w:tcW w:type="dxa" w:w="1728"/>
          </w:tcPr>
          <w:p>
            <w:r>
              <w:rPr>
                <w:rFonts w:ascii="Calibri" w:hAnsi="Calibri"/>
                <w:b/>
                <w:color w:val="E5484D"/>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$0.99</w:t>
            </w:r>
          </w:p>
        </w:tc>
        <w:tc>
          <w:tcPr>
            <w:tcW w:type="dxa" w:w="1728"/>
          </w:tcPr>
          <w:p>
            <w:r>
              <w:rPr>
                <w:rFonts w:ascii="Calibri" w:hAnsi="Calibri"/>
                <w:sz w:val="22"/>
              </w:rPr>
              <w:t>$0.970</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EQR has beaten Normalized FFO consensus in 6 of the last 8 quarters, with misses confined to Q4 2024 and Q4 2025 (both by ~$0.005/share). The beat rate is consistent and the magnitude of beats has been modest (typically 1–2%), suggesting consensus is generally well-calibrated but tends to be set slightly conservatively. Source: Visible Alpha Consensus and Actuals Data.</w:t>
      </w:r>
    </w:p>
    <w:p>
      <w:pPr>
        <w:pStyle w:val="Heading3"/>
      </w:pPr>
      <w:r>
        <w:rPr>
          <w:rFonts w:ascii="Calibri" w:hAnsi="Calibri"/>
          <w:b/>
          <w:color w:val="3B4259"/>
          <w:sz w:val="24"/>
        </w:rPr>
        <w:t>Top KPI #2: Same-Store Revenue Growth YoY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2.9%</w:t>
            </w:r>
          </w:p>
        </w:tc>
        <w:tc>
          <w:tcPr>
            <w:tcW w:type="dxa" w:w="1728"/>
          </w:tcPr>
          <w:p>
            <w:r>
              <w:rPr>
                <w:rFonts w:ascii="Calibri" w:hAnsi="Calibri"/>
                <w:sz w:val="22"/>
              </w:rPr>
              <w:t>3.24%</w:t>
            </w:r>
          </w:p>
        </w:tc>
        <w:tc>
          <w:tcPr>
            <w:tcW w:type="dxa" w:w="1728"/>
          </w:tcPr>
          <w:p>
            <w:r>
              <w:rPr>
                <w:rFonts w:ascii="Calibri" w:hAnsi="Calibri"/>
                <w:b/>
                <w:color w:val="E5484D"/>
                <w:sz w:val="22"/>
              </w:rPr>
              <w:t>-0.34 pp</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2.5%</w:t>
            </w:r>
          </w:p>
        </w:tc>
        <w:tc>
          <w:tcPr>
            <w:tcW w:type="dxa" w:w="1728"/>
          </w:tcPr>
          <w:p>
            <w:r>
              <w:rPr>
                <w:rFonts w:ascii="Calibri" w:hAnsi="Calibri"/>
                <w:sz w:val="22"/>
              </w:rPr>
              <w:t>2.89%</w:t>
            </w:r>
          </w:p>
        </w:tc>
        <w:tc>
          <w:tcPr>
            <w:tcW w:type="dxa" w:w="1728"/>
          </w:tcPr>
          <w:p>
            <w:r>
              <w:rPr>
                <w:rFonts w:ascii="Calibri" w:hAnsi="Calibri"/>
                <w:b/>
                <w:color w:val="E5484D"/>
                <w:sz w:val="22"/>
              </w:rPr>
              <w:t>-0.39 pp</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2.4%</w:t>
            </w:r>
          </w:p>
        </w:tc>
        <w:tc>
          <w:tcPr>
            <w:tcW w:type="dxa" w:w="1728"/>
          </w:tcPr>
          <w:p>
            <w:r>
              <w:rPr>
                <w:rFonts w:ascii="Calibri" w:hAnsi="Calibri"/>
                <w:sz w:val="22"/>
              </w:rPr>
              <w:t>2.77%</w:t>
            </w:r>
          </w:p>
        </w:tc>
        <w:tc>
          <w:tcPr>
            <w:tcW w:type="dxa" w:w="1728"/>
          </w:tcPr>
          <w:p>
            <w:r>
              <w:rPr>
                <w:rFonts w:ascii="Calibri" w:hAnsi="Calibri"/>
                <w:b/>
                <w:color w:val="E5484D"/>
                <w:sz w:val="22"/>
              </w:rPr>
              <w:t>-0.37 pp</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w:t>
            </w:r>
          </w:p>
        </w:tc>
        <w:tc>
          <w:tcPr>
            <w:tcW w:type="dxa" w:w="1728"/>
          </w:tcPr>
          <w:p>
            <w:r>
              <w:rPr>
                <w:rFonts w:ascii="Calibri" w:hAnsi="Calibri"/>
                <w:sz w:val="22"/>
              </w:rPr>
              <w:t>2.16%</w:t>
            </w:r>
          </w:p>
        </w:tc>
        <w:tc>
          <w:tcPr>
            <w:tcW w:type="dxa" w:w="1728"/>
          </w:tcPr>
          <w:p>
            <w:r>
              <w:rPr>
                <w:rFonts w:ascii="Calibri" w:hAnsi="Calibri"/>
                <w:b/>
                <w:color w:val="30A46C"/>
                <w:sz w:val="22"/>
              </w:rPr>
              <w:t>+0.04 pp</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2.9%</w:t>
            </w:r>
          </w:p>
        </w:tc>
        <w:tc>
          <w:tcPr>
            <w:tcW w:type="dxa" w:w="1728"/>
          </w:tcPr>
          <w:p>
            <w:r>
              <w:rPr>
                <w:rFonts w:ascii="Calibri" w:hAnsi="Calibri"/>
                <w:sz w:val="22"/>
              </w:rPr>
              <w:t>2.68%</w:t>
            </w:r>
          </w:p>
        </w:tc>
        <w:tc>
          <w:tcPr>
            <w:tcW w:type="dxa" w:w="1728"/>
          </w:tcPr>
          <w:p>
            <w:r>
              <w:rPr>
                <w:rFonts w:ascii="Calibri" w:hAnsi="Calibri"/>
                <w:b/>
                <w:color w:val="30A46C"/>
                <w:sz w:val="22"/>
              </w:rPr>
              <w:t>+0.22 pp</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w:t>
            </w:r>
          </w:p>
        </w:tc>
        <w:tc>
          <w:tcPr>
            <w:tcW w:type="dxa" w:w="1728"/>
          </w:tcPr>
          <w:p>
            <w:r>
              <w:rPr>
                <w:rFonts w:ascii="Calibri" w:hAnsi="Calibri"/>
                <w:sz w:val="22"/>
              </w:rPr>
              <w:t>3.10%</w:t>
            </w:r>
          </w:p>
        </w:tc>
        <w:tc>
          <w:tcPr>
            <w:tcW w:type="dxa" w:w="1728"/>
          </w:tcPr>
          <w:p>
            <w:r>
              <w:rPr>
                <w:rFonts w:ascii="Calibri" w:hAnsi="Calibri"/>
                <w:b/>
                <w:color w:val="E5484D"/>
                <w:sz w:val="22"/>
              </w:rPr>
              <w:t>-0.10 pp</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2.4%</w:t>
            </w:r>
          </w:p>
        </w:tc>
        <w:tc>
          <w:tcPr>
            <w:tcW w:type="dxa" w:w="1728"/>
          </w:tcPr>
          <w:p>
            <w:r>
              <w:rPr>
                <w:rFonts w:ascii="Calibri" w:hAnsi="Calibri"/>
                <w:sz w:val="22"/>
              </w:rPr>
              <w:t>2.83%</w:t>
            </w:r>
          </w:p>
        </w:tc>
        <w:tc>
          <w:tcPr>
            <w:tcW w:type="dxa" w:w="1728"/>
          </w:tcPr>
          <w:p>
            <w:r>
              <w:rPr>
                <w:rFonts w:ascii="Calibri" w:hAnsi="Calibri"/>
                <w:b/>
                <w:color w:val="E5484D"/>
                <w:sz w:val="22"/>
              </w:rPr>
              <w:t>-0.43 pp</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2.2%</w:t>
            </w:r>
          </w:p>
        </w:tc>
        <w:tc>
          <w:tcPr>
            <w:tcW w:type="dxa" w:w="1728"/>
          </w:tcPr>
          <w:p>
            <w:r>
              <w:rPr>
                <w:rFonts w:ascii="Calibri" w:hAnsi="Calibri"/>
                <w:sz w:val="22"/>
              </w:rPr>
              <w:t>2.03%</w:t>
            </w:r>
          </w:p>
        </w:tc>
        <w:tc>
          <w:tcPr>
            <w:tcW w:type="dxa" w:w="1728"/>
          </w:tcPr>
          <w:p>
            <w:r>
              <w:rPr>
                <w:rFonts w:ascii="Calibri" w:hAnsi="Calibri"/>
                <w:b/>
                <w:color w:val="30A46C"/>
                <w:sz w:val="22"/>
              </w:rPr>
              <w:t>+0.17 pp</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Same-store revenue growth has been a more mixed KPI — EQR missed consensus in 5 of the last 8 quarters, with the misses concentrated in the 2024 period when supply pressure was building. The trend has improved recently (beats in Q1 2025, Q2 2025, and Q1 2026), suggesting consensus has recalibrated to a more realistic level.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 maintained full-year guidance unchanged at the Q1 2026 print, citing early-season uncertainty, but tone was constructively bullish — “we love the setup heading into the peak leasing season” — with no post-earnings guidance revisions filed. The key watch item is whether Q2 results prompt a guidance raise on blended rates or FFO.</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(Jul 21, 2026)</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Blended Lease Rate Growth</w:t>
            </w:r>
          </w:p>
        </w:tc>
        <w:tc>
          <w:tcPr>
            <w:tcW w:type="dxa" w:w="1728"/>
          </w:tcPr>
          <w:p>
            <w:r>
              <w:rPr>
                <w:rFonts w:ascii="Calibri" w:hAnsi="Calibri"/>
                <w:sz w:val="22"/>
              </w:rPr>
              <w:t>1.5%–3.0% (midpoint ~2.25%)</w:t>
            </w:r>
          </w:p>
        </w:tc>
        <w:tc>
          <w:tcPr>
            <w:tcW w:type="dxa" w:w="1728"/>
          </w:tcPr>
          <w:p>
            <w:r>
              <w:rPr>
                <w:rFonts w:ascii="Calibri" w:hAnsi="Calibri"/>
                <w:sz w:val="22"/>
              </w:rPr>
              <w:t>—</w:t>
            </w:r>
          </w:p>
        </w:tc>
        <w:tc>
          <w:tcPr>
            <w:tcW w:type="dxa" w:w="1728"/>
          </w:tcPr>
          <w:p>
            <w:r>
              <w:rPr>
                <w:rFonts w:ascii="Calibri" w:hAnsi="Calibri"/>
                <w:sz w:val="22"/>
              </w:rPr>
              <w:t>2.42% (FY 2026)</w:t>
            </w:r>
          </w:p>
        </w:tc>
        <w:tc>
          <w:tcPr>
            <w:tcW w:type="dxa" w:w="1728"/>
          </w:tcPr>
          <w:p>
            <w:r>
              <w:rPr>
                <w:rFonts w:ascii="Calibri" w:hAnsi="Calibri"/>
                <w:sz w:val="22"/>
              </w:rPr>
              <w:t>Guidance maintained unchanged; renewals tracking slightly better than expected (~5%), new lease change slightly lighter; management declined to revise given early-season timing</w:t>
            </w:r>
          </w:p>
        </w:tc>
      </w:tr>
      <w:tr>
        <w:tc>
          <w:tcPr>
            <w:tcW w:type="dxa" w:w="1728"/>
          </w:tcPr>
          <w:p>
            <w:r>
              <w:rPr>
                <w:rFonts w:ascii="Calibri" w:hAnsi="Calibri"/>
                <w:sz w:val="22"/>
              </w:rPr>
              <w:t>Q2 2026 Blended Lease Rate</w:t>
            </w:r>
          </w:p>
        </w:tc>
        <w:tc>
          <w:tcPr>
            <w:tcW w:type="dxa" w:w="1728"/>
          </w:tcPr>
          <w:p>
            <w:r>
              <w:rPr>
                <w:rFonts w:ascii="Calibri" w:hAnsi="Calibri"/>
                <w:sz w:val="22"/>
              </w:rPr>
              <w:t>Sequential build from Q1 1.5%; new lease change building toward flat; renewals ~5%</w:t>
            </w:r>
          </w:p>
        </w:tc>
        <w:tc>
          <w:tcPr>
            <w:tcW w:type="dxa" w:w="1728"/>
          </w:tcPr>
          <w:p>
            <w:r>
              <w:rPr>
                <w:rFonts w:ascii="Calibri" w:hAnsi="Calibri"/>
                <w:sz w:val="22"/>
              </w:rPr>
              <w:t>—</w:t>
            </w:r>
          </w:p>
        </w:tc>
        <w:tc>
          <w:tcPr>
            <w:tcW w:type="dxa" w:w="1728"/>
          </w:tcPr>
          <w:p>
            <w:r>
              <w:rPr>
                <w:rFonts w:ascii="Calibri" w:hAnsi="Calibri"/>
                <w:sz w:val="22"/>
              </w:rPr>
              <w:t>3.0% (Q2 2026 consensus)</w:t>
            </w:r>
          </w:p>
        </w:tc>
        <w:tc>
          <w:tcPr>
            <w:tcW w:type="dxa" w:w="1728"/>
          </w:tcPr>
          <w:p>
            <w:r>
              <w:rPr>
                <w:rFonts w:ascii="Calibri" w:hAnsi="Calibri"/>
                <w:sz w:val="22"/>
              </w:rPr>
              <w:t>April blended rate approximately doubled from Q1 level per management; consensus at top of implied range</w:t>
            </w:r>
          </w:p>
        </w:tc>
      </w:tr>
      <w:tr>
        <w:tc>
          <w:tcPr>
            <w:tcW w:type="dxa" w:w="1728"/>
          </w:tcPr>
          <w:p>
            <w:r>
              <w:rPr>
                <w:rFonts w:ascii="Calibri" w:hAnsi="Calibri"/>
                <w:sz w:val="22"/>
              </w:rPr>
              <w:t>Same-Store Occupancy</w:t>
            </w:r>
          </w:p>
        </w:tc>
        <w:tc>
          <w:tcPr>
            <w:tcW w:type="dxa" w:w="1728"/>
          </w:tcPr>
          <w:p>
            <w:r>
              <w:rPr>
                <w:rFonts w:ascii="Calibri" w:hAnsi="Calibri"/>
                <w:sz w:val="22"/>
              </w:rPr>
              <w:t>Mid-96% range; “more than 96% occupied” entering Q2</w:t>
            </w:r>
          </w:p>
        </w:tc>
        <w:tc>
          <w:tcPr>
            <w:tcW w:type="dxa" w:w="1728"/>
          </w:tcPr>
          <w:p>
            <w:r>
              <w:rPr>
                <w:rFonts w:ascii="Calibri" w:hAnsi="Calibri"/>
                <w:sz w:val="22"/>
              </w:rPr>
              <w:t>—</w:t>
            </w:r>
          </w:p>
        </w:tc>
        <w:tc>
          <w:tcPr>
            <w:tcW w:type="dxa" w:w="1728"/>
          </w:tcPr>
          <w:p>
            <w:r>
              <w:rPr>
                <w:rFonts w:ascii="Calibri" w:hAnsi="Calibri"/>
                <w:sz w:val="22"/>
              </w:rPr>
              <w:t>96.5%</w:t>
            </w:r>
          </w:p>
        </w:tc>
        <w:tc>
          <w:tcPr>
            <w:tcW w:type="dxa" w:w="1728"/>
          </w:tcPr>
          <w:p>
            <w:r>
              <w:rPr>
                <w:rFonts w:ascii="Calibri" w:hAnsi="Calibri"/>
                <w:sz w:val="22"/>
              </w:rPr>
              <w:t>Occupancy stable; management expressed confidence in maintaining position through peak season</w:t>
            </w:r>
          </w:p>
        </w:tc>
      </w:tr>
      <w:tr>
        <w:tc>
          <w:tcPr>
            <w:tcW w:type="dxa" w:w="1728"/>
          </w:tcPr>
          <w:p>
            <w:r>
              <w:rPr>
                <w:rFonts w:ascii="Calibri" w:hAnsi="Calibri"/>
                <w:sz w:val="22"/>
              </w:rPr>
              <w:t>Concession Use (Full Year)</w:t>
            </w:r>
          </w:p>
        </w:tc>
        <w:tc>
          <w:tcPr>
            <w:tcW w:type="dxa" w:w="1728"/>
          </w:tcPr>
          <w:p>
            <w:r>
              <w:rPr>
                <w:rFonts w:ascii="Calibri" w:hAnsi="Calibri"/>
                <w:sz w:val="22"/>
              </w:rPr>
              <w:t>~20% reduction vs. 2025 full year; elevated in expansion markets and D.C./Seattle in Q2; material decline expected in H2</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Q2 concession reduction expected to be less than full-year 20% target; H2 expected to see material decline vs. 2025</w:t>
            </w:r>
          </w:p>
        </w:tc>
      </w:tr>
      <w:tr>
        <w:tc>
          <w:tcPr>
            <w:tcW w:type="dxa" w:w="1728"/>
          </w:tcPr>
          <w:p>
            <w:r>
              <w:rPr>
                <w:rFonts w:ascii="Calibri" w:hAnsi="Calibri"/>
                <w:sz w:val="22"/>
              </w:rPr>
              <w:t>FY 2026 Normalized FFO per Share</w:t>
            </w:r>
          </w:p>
        </w:tc>
        <w:tc>
          <w:tcPr>
            <w:tcW w:type="dxa" w:w="1728"/>
          </w:tcPr>
          <w:p>
            <w:r>
              <w:rPr>
                <w:rFonts w:ascii="Calibri" w:hAnsi="Calibri"/>
                <w:sz w:val="22"/>
              </w:rPr>
              <w:t>No explicit FY FFO guidance provided on Q1 call; full-year guidance maintained</w:t>
            </w:r>
          </w:p>
        </w:tc>
        <w:tc>
          <w:tcPr>
            <w:tcW w:type="dxa" w:w="1728"/>
          </w:tcPr>
          <w:p>
            <w:r>
              <w:rPr>
                <w:rFonts w:ascii="Calibri" w:hAnsi="Calibri"/>
                <w:sz w:val="22"/>
              </w:rPr>
              <w:t>—</w:t>
            </w:r>
          </w:p>
        </w:tc>
        <w:tc>
          <w:tcPr>
            <w:tcW w:type="dxa" w:w="1728"/>
          </w:tcPr>
          <w:p>
            <w:r>
              <w:rPr>
                <w:rFonts w:ascii="Calibri" w:hAnsi="Calibri"/>
                <w:sz w:val="22"/>
              </w:rPr>
              <w:t>$4.09 (FY 2026)</w:t>
            </w:r>
          </w:p>
        </w:tc>
        <w:tc>
          <w:tcPr>
            <w:tcW w:type="dxa" w:w="1728"/>
          </w:tcPr>
          <w:p>
            <w:r>
              <w:rPr>
                <w:rFonts w:ascii="Calibri" w:hAnsi="Calibri"/>
                <w:sz w:val="22"/>
              </w:rPr>
              <w:t>No post-earnings guidance revision filed; consensus stable since Q1 print</w:t>
            </w:r>
          </w:p>
        </w:tc>
      </w:tr>
      <w:tr>
        <w:tc>
          <w:tcPr>
            <w:tcW w:type="dxa" w:w="1728"/>
          </w:tcPr>
          <w:p>
            <w:r>
              <w:rPr>
                <w:rFonts w:ascii="Calibri" w:hAnsi="Calibri"/>
                <w:sz w:val="22"/>
              </w:rPr>
              <w:t>Capital Allocation (Buybacks)</w:t>
            </w:r>
          </w:p>
        </w:tc>
        <w:tc>
          <w:tcPr>
            <w:tcW w:type="dxa" w:w="1728"/>
          </w:tcPr>
          <w:p>
            <w:r>
              <w:rPr>
                <w:rFonts w:ascii="Calibri" w:hAnsi="Calibri"/>
                <w:sz w:val="22"/>
              </w:rPr>
              <w:t>Prioritizing buybacks over acquisitions; stock “greatly undervalued”; ~$500M repurchased since Aug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Shareholders approved all proposals at Annual Meeting (Jun 22, 2026 8-K); buyback program ongoing</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FFO estimates for Q2 2026 have been essentially flat since the Q1 print (+0.6%), while same-store revenue growth estimates have drifted modestly lower (-0.7 pp), suggesting the market is cautiously waiting for peak-season data before revising up. The gap between current consensus and the top of management’s blended rate guidance range represents potential upside if leasing season executes.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(May 5,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Normalized FFO/Share — Diluted (Q2 2026)</w:t>
            </w:r>
          </w:p>
        </w:tc>
        <w:tc>
          <w:tcPr>
            <w:tcW w:type="dxa" w:w="1080"/>
          </w:tcPr>
          <w:p>
            <w:r>
              <w:rPr>
                <w:rFonts w:ascii="Calibri" w:hAnsi="Calibri"/>
                <w:sz w:val="22"/>
              </w:rPr>
              <w:t>$1.007</w:t>
            </w:r>
          </w:p>
        </w:tc>
        <w:tc>
          <w:tcPr>
            <w:tcW w:type="dxa" w:w="1080"/>
          </w:tcPr>
          <w:p>
            <w:r>
              <w:rPr>
                <w:rFonts w:ascii="Calibri" w:hAnsi="Calibri"/>
                <w:sz w:val="22"/>
              </w:rPr>
              <w:t>$1.012</w:t>
            </w:r>
          </w:p>
        </w:tc>
        <w:tc>
          <w:tcPr>
            <w:tcW w:type="dxa" w:w="1080"/>
          </w:tcPr>
          <w:p>
            <w:r>
              <w:rPr>
                <w:rFonts w:ascii="Calibri" w:hAnsi="Calibri"/>
                <w:b/>
                <w:color w:val="30A46C"/>
                <w:sz w:val="22"/>
              </w:rPr>
              <w:t>+0.6%</w:t>
            </w:r>
          </w:p>
        </w:tc>
        <w:tc>
          <w:tcPr>
            <w:tcW w:type="dxa" w:w="1080"/>
          </w:tcPr>
          <w:p>
            <w:r>
              <w:rPr>
                <w:rFonts w:ascii="Calibri" w:hAnsi="Calibri"/>
                <w:sz w:val="22"/>
              </w:rPr>
              <w:t>No explicit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Normalized FFO/Share — Diluted (FY 2026)</w:t>
            </w:r>
          </w:p>
        </w:tc>
        <w:tc>
          <w:tcPr>
            <w:tcW w:type="dxa" w:w="1080"/>
          </w:tcPr>
          <w:p>
            <w:r>
              <w:rPr>
                <w:rFonts w:ascii="Calibri" w:hAnsi="Calibri"/>
                <w:sz w:val="22"/>
              </w:rPr>
              <w:t>$4.094</w:t>
            </w:r>
          </w:p>
        </w:tc>
        <w:tc>
          <w:tcPr>
            <w:tcW w:type="dxa" w:w="1080"/>
          </w:tcPr>
          <w:p>
            <w:r>
              <w:rPr>
                <w:rFonts w:ascii="Calibri" w:hAnsi="Calibri"/>
                <w:sz w:val="22"/>
              </w:rPr>
              <w:t>$4.086</w:t>
            </w:r>
          </w:p>
        </w:tc>
        <w:tc>
          <w:tcPr>
            <w:tcW w:type="dxa" w:w="1080"/>
          </w:tcPr>
          <w:p>
            <w:r>
              <w:rPr>
                <w:rFonts w:ascii="Calibri" w:hAnsi="Calibri"/>
                <w:b/>
                <w:color w:val="E5484D"/>
                <w:sz w:val="22"/>
              </w:rPr>
              <w:t>-0.2%</w:t>
            </w:r>
          </w:p>
        </w:tc>
        <w:tc>
          <w:tcPr>
            <w:tcW w:type="dxa" w:w="1080"/>
          </w:tcPr>
          <w:p>
            <w:r>
              <w:rPr>
                <w:rFonts w:ascii="Calibri" w:hAnsi="Calibri"/>
                <w:sz w:val="22"/>
              </w:rPr>
              <w:t>Full-year guidance maintained; no explicit FY FFO range given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Same-Store Revenue Growth YoY (Q2 2026)</w:t>
            </w:r>
          </w:p>
        </w:tc>
        <w:tc>
          <w:tcPr>
            <w:tcW w:type="dxa" w:w="1080"/>
          </w:tcPr>
          <w:p>
            <w:r>
              <w:rPr>
                <w:rFonts w:ascii="Calibri" w:hAnsi="Calibri"/>
                <w:sz w:val="22"/>
              </w:rPr>
              <w:t>2.35%</w:t>
            </w:r>
          </w:p>
        </w:tc>
        <w:tc>
          <w:tcPr>
            <w:tcW w:type="dxa" w:w="1080"/>
          </w:tcPr>
          <w:p>
            <w:r>
              <w:rPr>
                <w:rFonts w:ascii="Calibri" w:hAnsi="Calibri"/>
                <w:sz w:val="22"/>
              </w:rPr>
              <w:t>2.17%</w:t>
            </w:r>
          </w:p>
        </w:tc>
        <w:tc>
          <w:tcPr>
            <w:tcW w:type="dxa" w:w="1080"/>
          </w:tcPr>
          <w:p>
            <w:r>
              <w:rPr>
                <w:rFonts w:ascii="Calibri" w:hAnsi="Calibri"/>
                <w:b/>
                <w:color w:val="E5484D"/>
                <w:sz w:val="22"/>
              </w:rPr>
              <w:t>-0.18 pp</w:t>
            </w:r>
          </w:p>
        </w:tc>
        <w:tc>
          <w:tcPr>
            <w:tcW w:type="dxa" w:w="1080"/>
          </w:tcPr>
          <w:p>
            <w:r>
              <w:rPr>
                <w:rFonts w:ascii="Calibri" w:hAnsi="Calibri"/>
                <w:sz w:val="22"/>
              </w:rPr>
              <w:t>Sequential build; full-year blended rate 1.5%–3.0%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 of blended rate guidance range</w:t>
            </w:r>
          </w:p>
        </w:tc>
      </w:tr>
      <w:tr>
        <w:tc>
          <w:tcPr>
            <w:tcW w:type="dxa" w:w="1080"/>
          </w:tcPr>
          <w:p>
            <w:r>
              <w:rPr>
                <w:rFonts w:ascii="Calibri" w:hAnsi="Calibri"/>
                <w:sz w:val="22"/>
              </w:rPr>
              <w:t>Same-Store Revenue Growth YoY (FY 2026)</w:t>
            </w:r>
          </w:p>
        </w:tc>
        <w:tc>
          <w:tcPr>
            <w:tcW w:type="dxa" w:w="1080"/>
          </w:tcPr>
          <w:p>
            <w:r>
              <w:rPr>
                <w:rFonts w:ascii="Calibri" w:hAnsi="Calibri"/>
                <w:sz w:val="22"/>
              </w:rPr>
              <w:t>2.42%</w:t>
            </w:r>
          </w:p>
        </w:tc>
        <w:tc>
          <w:tcPr>
            <w:tcW w:type="dxa" w:w="1080"/>
          </w:tcPr>
          <w:p>
            <w:r>
              <w:rPr>
                <w:rFonts w:ascii="Calibri" w:hAnsi="Calibri"/>
                <w:sz w:val="22"/>
              </w:rPr>
              <w:t>2.31%</w:t>
            </w:r>
          </w:p>
        </w:tc>
        <w:tc>
          <w:tcPr>
            <w:tcW w:type="dxa" w:w="1080"/>
          </w:tcPr>
          <w:p>
            <w:r>
              <w:rPr>
                <w:rFonts w:ascii="Calibri" w:hAnsi="Calibri"/>
                <w:b/>
                <w:color w:val="E5484D"/>
                <w:sz w:val="22"/>
              </w:rPr>
              <w:t>-0.11 pp</w:t>
            </w:r>
          </w:p>
        </w:tc>
        <w:tc>
          <w:tcPr>
            <w:tcW w:type="dxa" w:w="1080"/>
          </w:tcPr>
          <w:p>
            <w:r>
              <w:rPr>
                <w:rFonts w:ascii="Calibri" w:hAnsi="Calibri"/>
                <w:sz w:val="22"/>
              </w:rPr>
              <w:t>Full-year blended rate 1.5%–3.0%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Below midpoint of guidance range; upside if peak season delivers</w:t>
            </w:r>
          </w:p>
        </w:tc>
      </w:tr>
      <w:tr>
        <w:tc>
          <w:tcPr>
            <w:tcW w:type="dxa" w:w="1080"/>
          </w:tcPr>
          <w:p>
            <w:r>
              <w:rPr>
                <w:rFonts w:ascii="Calibri" w:hAnsi="Calibri"/>
                <w:sz w:val="22"/>
              </w:rPr>
              <w:t>Same-Store NOI Growth YoY (Q2 2026)</w:t>
            </w:r>
          </w:p>
        </w:tc>
        <w:tc>
          <w:tcPr>
            <w:tcW w:type="dxa" w:w="1080"/>
          </w:tcPr>
          <w:p>
            <w:r>
              <w:rPr>
                <w:rFonts w:ascii="Calibri" w:hAnsi="Calibri"/>
                <w:sz w:val="22"/>
              </w:rPr>
              <w:t>1.58%</w:t>
            </w:r>
          </w:p>
        </w:tc>
        <w:tc>
          <w:tcPr>
            <w:tcW w:type="dxa" w:w="1080"/>
          </w:tcPr>
          <w:p>
            <w:r>
              <w:rPr>
                <w:rFonts w:ascii="Calibri" w:hAnsi="Calibri"/>
                <w:sz w:val="22"/>
              </w:rPr>
              <w:t>1.40%</w:t>
            </w:r>
          </w:p>
        </w:tc>
        <w:tc>
          <w:tcPr>
            <w:tcW w:type="dxa" w:w="1080"/>
          </w:tcPr>
          <w:p>
            <w:r>
              <w:rPr>
                <w:rFonts w:ascii="Calibri" w:hAnsi="Calibri"/>
                <w:b/>
                <w:color w:val="E5484D"/>
                <w:sz w:val="22"/>
              </w:rPr>
              <w:t>-0.18 pp</w:t>
            </w:r>
          </w:p>
        </w:tc>
        <w:tc>
          <w:tcPr>
            <w:tcW w:type="dxa" w:w="1080"/>
          </w:tcPr>
          <w:p>
            <w:r>
              <w:rPr>
                <w:rFonts w:ascii="Calibri" w:hAnsi="Calibri"/>
                <w:sz w:val="22"/>
              </w:rPr>
              <w:t>No explicit Q2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Effective Blended Lease Rate (Q2 2026)</w:t>
            </w:r>
          </w:p>
        </w:tc>
        <w:tc>
          <w:tcPr>
            <w:tcW w:type="dxa" w:w="1080"/>
          </w:tcPr>
          <w:p>
            <w:r>
              <w:rPr>
                <w:rFonts w:ascii="Calibri" w:hAnsi="Calibri"/>
                <w:sz w:val="22"/>
              </w:rPr>
              <w:t>2.71%</w:t>
            </w:r>
          </w:p>
        </w:tc>
        <w:tc>
          <w:tcPr>
            <w:tcW w:type="dxa" w:w="1080"/>
          </w:tcPr>
          <w:p>
            <w:r>
              <w:rPr>
                <w:rFonts w:ascii="Calibri" w:hAnsi="Calibri"/>
                <w:sz w:val="22"/>
              </w:rPr>
              <w:t>3.00%</w:t>
            </w:r>
          </w:p>
        </w:tc>
        <w:tc>
          <w:tcPr>
            <w:tcW w:type="dxa" w:w="1080"/>
          </w:tcPr>
          <w:p>
            <w:r>
              <w:rPr>
                <w:rFonts w:ascii="Calibri" w:hAnsi="Calibri"/>
                <w:b/>
                <w:color w:val="30A46C"/>
                <w:sz w:val="22"/>
              </w:rPr>
              <w:t>+0.29 pp</w:t>
            </w:r>
          </w:p>
        </w:tc>
        <w:tc>
          <w:tcPr>
            <w:tcW w:type="dxa" w:w="1080"/>
          </w:tcPr>
          <w:p>
            <w:r>
              <w:rPr>
                <w:rFonts w:ascii="Calibri" w:hAnsi="Calibri"/>
                <w:sz w:val="22"/>
              </w:rPr>
              <w:t>1.5%–3.0% full year; Q2 building toward top of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top of full-year guidance range; implies strong Q2 execution</w:t>
            </w:r>
          </w:p>
        </w:tc>
      </w:tr>
    </w:tbl>
    <w:p>
      <w:r>
        <w:rPr>
          <w:rFonts w:ascii="Calibri" w:hAnsi="Calibri"/>
          <w:i/>
          <w:color w:val="525866"/>
          <w:sz w:val="22"/>
        </w:rPr>
        <w:t>Source: Visible Alpha Consensus and Actuals Data. Post-Q1 baseline as of May 5, 2026 (5 trading days after April 28, 2026 print). Current consensus as of July 21, 2026.</w:t>
      </w:r>
    </w:p>
    <w:p>
      <w:r>
        <w:rPr>
          <w:rFonts w:ascii="Calibri" w:hAnsi="Calibri"/>
          <w:color w:val="525866"/>
          <w:sz w:val="22"/>
        </w:rPr>
        <w:t xml:space="preserve">The revision picture is nuanced: FFO estimates are essentially unchanged (a slight positive given the macro uncertainty backdrop), while same-store revenue growth estimates have drifted ~18 bps lower for Q2 and ~11 bps lower for FY 2026 since the Q1 print. Notably, blended lease rate consensus has </w:t>
      </w:r>
      <w:r>
        <w:rPr>
          <w:rFonts w:ascii="Calibri" w:hAnsi="Calibri"/>
          <w:b/>
          <w:color w:val="525866"/>
          <w:sz w:val="22"/>
        </w:rPr>
        <w:t>risen 29 bps</w:t>
      </w:r>
      <w:r>
        <w:rPr>
          <w:rFonts w:ascii="Calibri" w:hAnsi="Calibri"/>
          <w:color w:val="525866"/>
          <w:sz w:val="22"/>
        </w:rPr>
        <w:t xml:space="preserve"> since the Q1 print to 3.0% — at the top of management’s full-year guidance range — suggesting the market is pricing in a strong peak leasing season. If blended rates come in at or above 3%, a guidance raise on the full-year blended rate range becomes likely.</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EQR has rallied ~10% since the Q1 2026 print (vs. ~5% for the S&amp;P 500 and ~11% for the residential REIT ETF REZ), driven primarily by </w:t>
      </w:r>
      <w:r>
        <w:rPr>
          <w:rFonts w:ascii="Calibri" w:hAnsi="Calibri"/>
          <w:b/>
          <w:color w:val="525866"/>
          <w:sz w:val="22"/>
        </w:rPr>
        <w:t>sector re-rating</w:t>
      </w:r>
      <w:r>
        <w:rPr>
          <w:rFonts w:ascii="Calibri" w:hAnsi="Calibri"/>
          <w:color w:val="525866"/>
          <w:sz w:val="22"/>
        </w:rPr>
        <w:t xml:space="preserve"> on the supply tailwind thesis rather than estimate revisions (which have been flat). The stock has largely tracked the residential REIT sector, suggesting the move is macro/sector-driven rather than EQR-specific alpha.</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EQR vs. REZ (Residential REIT ETF) vs. S&amp;P 500 (SPY) — Indexed to 100 at April 28, 2026 (Q1 2026 Earnings Date). Source: Yahoo Finance / Stock Price Data.</w:t>
      </w:r>
    </w:p>
    <w:p>
      <w:r>
        <w:rPr>
          <w:rFonts w:ascii="Calibri" w:hAnsi="Calibri"/>
          <w:color w:val="525866"/>
          <w:sz w:val="22"/>
        </w:rPr>
        <w:t xml:space="preserve">Since the Q1 2026 earnings print on April 28, 2026, EQR has gained approximately </w:t>
      </w:r>
      <w:r>
        <w:rPr>
          <w:rFonts w:ascii="Calibri" w:hAnsi="Calibri"/>
          <w:b/>
          <w:color w:val="525866"/>
          <w:sz w:val="22"/>
        </w:rPr>
        <w:t>+9.6%</w:t>
      </w:r>
      <w:r>
        <w:rPr>
          <w:rFonts w:ascii="Calibri" w:hAnsi="Calibri"/>
          <w:color w:val="525866"/>
          <w:sz w:val="22"/>
        </w:rPr>
        <w:t xml:space="preserve"> (from $62.32 to $68.29 as of July 21, 2026), modestly underperforming the residential REIT ETF REZ (+11.0%) but significantly outperforming the S&amp;P 500 (+4.6%). The sector-wide re-rating reflects growing investor conviction in the 2026–2027 supply tailwind thesis across apartment REITs. EQR’s slight underperformance vs. REZ likely reflects the D.C. and expansion market overhangs that weigh on EQR specifically relative to pure coastal peers. The stock currently trades at approximately 17x NTM FFO, still at a discount to the sector average of mid-20x, consistent with management’s own characterization of the stock as “greatly undervalued.” Source: Yahoo Finance / Stock Price Data.</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No material negative developments since the Q1 print; the most important development is the </w:t>
      </w:r>
      <w:r>
        <w:rPr>
          <w:rFonts w:ascii="Calibri" w:hAnsi="Calibri"/>
          <w:b/>
          <w:color w:val="525866"/>
          <w:sz w:val="22"/>
        </w:rPr>
        <w:t>ongoing share buyback program</w:t>
      </w:r>
      <w:r>
        <w:rPr>
          <w:rFonts w:ascii="Calibri" w:hAnsi="Calibri"/>
          <w:color w:val="525866"/>
          <w:sz w:val="22"/>
        </w:rPr>
        <w:t xml:space="preserve"> (now ~$500M repurchased since Aug 2025) and the emerging </w:t>
      </w:r>
      <w:r>
        <w:rPr>
          <w:rFonts w:ascii="Calibri" w:hAnsi="Calibri"/>
          <w:b/>
          <w:color w:val="525866"/>
          <w:sz w:val="22"/>
        </w:rPr>
        <w:t>rent control legislative risk</w:t>
      </w:r>
      <w:r>
        <w:rPr>
          <w:rFonts w:ascii="Calibri" w:hAnsi="Calibri"/>
          <w:color w:val="525866"/>
          <w:sz w:val="22"/>
        </w:rPr>
        <w:t xml:space="preserve"> in Massachusetts and D.C., which management is actively monitoring and opposing.</w:t>
      </w:r>
    </w:p>
    <w:p>
      <w:pPr>
        <w:pStyle w:val="ListBullet"/>
        <w:ind w:left="360" w:hanging="360"/>
      </w:pPr>
      <w:r>
        <w:rPr>
          <w:rFonts w:ascii="Calibri" w:hAnsi="Calibri"/>
          <w:b/>
          <w:color w:val="525866"/>
          <w:sz w:val="22"/>
        </w:rPr>
        <w:t>Apr 28, 2026 — Q1 2026 Earnings Release &amp; 8-K:</w:t>
      </w:r>
      <w:r>
        <w:rPr>
          <w:rFonts w:ascii="Calibri" w:hAnsi="Calibri"/>
          <w:color w:val="525866"/>
          <w:sz w:val="22"/>
        </w:rPr>
        <w:t xml:space="preserve"> EQR reported Q1 2026 results with Normalized FFO of $0.99/share (beat vs. $0.970 consensus). Same-store revenue grew 2.2% YoY. Record-low resident turnover in company history. Full-year guidance maintained unchanged. Stock rose sharply on the day. </w:t>
      </w:r>
      <w:r>
        <w:rPr>
          <w:rFonts w:ascii="Calibri" w:hAnsi="Calibri"/>
          <w:i/>
          <w:color w:val="525866"/>
          <w:sz w:val="22"/>
        </w:rPr>
        <w:t>Implication:</w:t>
      </w:r>
      <w:r>
        <w:rPr>
          <w:rFonts w:ascii="Calibri" w:hAnsi="Calibri"/>
          <w:i/>
          <w:color w:val="525866"/>
          <w:sz w:val="22"/>
        </w:rPr>
        <w:t xml:space="preserve"> Sets a constructive tone heading into Q2; management’s “we love the setup” language signals confidence in peak leasing season execution.</w:t>
      </w:r>
    </w:p>
    <w:p>
      <w:pPr>
        <w:pStyle w:val="ListBullet"/>
        <w:ind w:left="360" w:hanging="360"/>
      </w:pPr>
      <w:r>
        <w:rPr>
          <w:rFonts w:ascii="Calibri" w:hAnsi="Calibri"/>
          <w:b/>
          <w:color w:val="525866"/>
          <w:sz w:val="22"/>
        </w:rPr>
        <w:t>Jun 22, 2026 — Annual Meeting 8-K:</w:t>
      </w:r>
      <w:r>
        <w:rPr>
          <w:rFonts w:ascii="Calibri" w:hAnsi="Calibri"/>
          <w:color w:val="525866"/>
          <w:sz w:val="22"/>
        </w:rPr>
        <w:t xml:space="preserve"> Shareholders approved all proposals at EQR’s Annual Meeting. </w:t>
      </w:r>
      <w:r>
        <w:rPr>
          <w:rFonts w:ascii="Calibri" w:hAnsi="Calibri"/>
          <w:i/>
          <w:color w:val="525866"/>
          <w:sz w:val="22"/>
        </w:rPr>
        <w:t>Implication:</w:t>
      </w:r>
      <w:r>
        <w:rPr>
          <w:rFonts w:ascii="Calibri" w:hAnsi="Calibri"/>
          <w:i/>
          <w:color w:val="525866"/>
          <w:sz w:val="22"/>
        </w:rPr>
        <w:t xml:space="preserve"> Routine governance event; no material impact on operations or capital allocation strategy.</w:t>
      </w:r>
    </w:p>
    <w:p>
      <w:pPr>
        <w:pStyle w:val="ListBullet"/>
        <w:ind w:left="360" w:hanging="360"/>
      </w:pPr>
      <w:r>
        <w:rPr>
          <w:rFonts w:ascii="Calibri" w:hAnsi="Calibri"/>
          <w:b/>
          <w:color w:val="525866"/>
          <w:sz w:val="22"/>
        </w:rPr>
        <w:t>Jul 13, 2026 — Shareholder Alert (M&amp;A Class Action Inquiry):</w:t>
      </w:r>
      <w:r>
        <w:rPr>
          <w:rFonts w:ascii="Calibri" w:hAnsi="Calibri"/>
          <w:color w:val="525866"/>
          <w:sz w:val="22"/>
        </w:rPr>
        <w:t xml:space="preserve"> A law firm launched a legal inquiry related to EQR (alongside AVB, NEE, and D). </w:t>
      </w:r>
      <w:r>
        <w:rPr>
          <w:rFonts w:ascii="Calibri" w:hAnsi="Calibri"/>
          <w:i/>
          <w:color w:val="525866"/>
          <w:sz w:val="22"/>
        </w:rPr>
        <w:t>Implication:</w:t>
      </w:r>
      <w:r>
        <w:rPr>
          <w:rFonts w:ascii="Calibri" w:hAnsi="Calibri"/>
          <w:i/>
          <w:color w:val="525866"/>
          <w:sz w:val="22"/>
        </w:rPr>
        <w:t xml:space="preserve"> Appears to be a routine plaintiff law firm inquiry; no confirmed merger or transaction announced. Monitor for any follow-up filings but not a material near-term earnings driver.</w:t>
      </w:r>
    </w:p>
    <w:p>
      <w:pPr>
        <w:pStyle w:val="ListBullet"/>
        <w:ind w:left="360" w:hanging="360"/>
      </w:pPr>
      <w:r>
        <w:rPr>
          <w:rFonts w:ascii="Calibri" w:hAnsi="Calibri"/>
          <w:b/>
          <w:color w:val="525866"/>
          <w:sz w:val="22"/>
        </w:rPr>
        <w:t>Ongoing — Massachusetts Rent Control Ballot Measure:</w:t>
      </w:r>
      <w:r>
        <w:rPr>
          <w:rFonts w:ascii="Calibri" w:hAnsi="Calibri"/>
          <w:color w:val="525866"/>
          <w:sz w:val="22"/>
        </w:rPr>
        <w:t xml:space="preserve"> Management flagged this as the primary rent control risk; EQR has already paused development starts in Massachusetts pending the outcome. Industry is mobilized to oppose the measure. </w:t>
      </w:r>
      <w:r>
        <w:rPr>
          <w:rFonts w:ascii="Calibri" w:hAnsi="Calibri"/>
          <w:i/>
          <w:color w:val="525866"/>
          <w:sz w:val="22"/>
        </w:rPr>
        <w:t>Implication:</w:t>
      </w:r>
      <w:r>
        <w:rPr>
          <w:rFonts w:ascii="Calibri" w:hAnsi="Calibri"/>
          <w:i/>
          <w:color w:val="525866"/>
          <w:sz w:val="22"/>
        </w:rPr>
        <w:t xml:space="preserve"> If passed, could reduce long-term pricing power in Boston and suppress development activity; management frames it as a long-term housing supply disincentive. Watch for any ballot measure updates.</w:t>
      </w:r>
    </w:p>
    <w:p>
      <w:pPr>
        <w:pStyle w:val="ListBullet"/>
        <w:ind w:left="360" w:hanging="360"/>
      </w:pPr>
      <w:r>
        <w:rPr>
          <w:rFonts w:ascii="Calibri" w:hAnsi="Calibri"/>
          <w:b/>
          <w:color w:val="525866"/>
          <w:sz w:val="22"/>
        </w:rPr>
        <w:t>Ongoing — D.C. Two-Year Rent Freeze Proposal:</w:t>
      </w:r>
      <w:r>
        <w:rPr>
          <w:rFonts w:ascii="Calibri" w:hAnsi="Calibri"/>
          <w:color w:val="525866"/>
          <w:sz w:val="22"/>
        </w:rPr>
        <w:t xml:space="preserve"> A proposed two-year rent freeze in Washington D.C. is being monitored; management notes much of the D.C. portfolio is already rent-controlled, limiting direct impact. </w:t>
      </w:r>
      <w:r>
        <w:rPr>
          <w:rFonts w:ascii="Calibri" w:hAnsi="Calibri"/>
          <w:i/>
          <w:color w:val="525866"/>
          <w:sz w:val="22"/>
        </w:rPr>
        <w:t>Implication:</w:t>
      </w:r>
      <w:r>
        <w:rPr>
          <w:rFonts w:ascii="Calibri" w:hAnsi="Calibri"/>
          <w:i/>
          <w:color w:val="525866"/>
          <w:sz w:val="22"/>
        </w:rPr>
        <w:t xml:space="preserve"> Incremental negative for D.C. pricing power, but limited given existing rent control exposure.</w:t>
      </w:r>
    </w:p>
    <w:p>
      <w:pPr>
        <w:pStyle w:val="ListBullet"/>
        <w:ind w:left="360" w:hanging="360"/>
      </w:pPr>
      <w:r>
        <w:rPr>
          <w:rFonts w:ascii="Calibri" w:hAnsi="Calibri"/>
          <w:b/>
          <w:color w:val="525866"/>
          <w:sz w:val="22"/>
        </w:rPr>
        <w:t>Ongoing — Share Buyback Program (~$500M since Aug 2025):</w:t>
      </w:r>
      <w:r>
        <w:rPr>
          <w:rFonts w:ascii="Calibri" w:hAnsi="Calibri"/>
          <w:color w:val="525866"/>
          <w:sz w:val="22"/>
        </w:rPr>
        <w:t xml:space="preserve"> Management has repurchased approximately $500M in stock since August 2025, funded primarily by disposition proceeds. Management explicitly calls stock “greatly undervalued.” </w:t>
      </w:r>
      <w:r>
        <w:rPr>
          <w:rFonts w:ascii="Calibri" w:hAnsi="Calibri"/>
          <w:i/>
          <w:color w:val="525866"/>
          <w:sz w:val="22"/>
        </w:rPr>
        <w:t>Implication:</w:t>
      </w:r>
      <w:r>
        <w:rPr>
          <w:rFonts w:ascii="Calibri" w:hAnsi="Calibri"/>
          <w:i/>
          <w:color w:val="525866"/>
          <w:sz w:val="22"/>
        </w:rPr>
        <w:t xml:space="preserve"> Accretive to FFO per share; signals management conviction in NAV discount. Watch for any update on buyback pace or remaining authorization.</w:t>
      </w:r>
    </w:p>
    <w:p>
      <w:pPr>
        <w:pStyle w:val="ListBullet"/>
        <w:ind w:left="360" w:hanging="360"/>
      </w:pPr>
      <w:r>
        <w:rPr>
          <w:rFonts w:ascii="Calibri" w:hAnsi="Calibri"/>
          <w:b/>
          <w:color w:val="525866"/>
          <w:sz w:val="22"/>
        </w:rPr>
        <w:t>Ongoing — AI-Driven Demand in San Francisco:</w:t>
      </w:r>
      <w:r>
        <w:rPr>
          <w:rFonts w:ascii="Calibri" w:hAnsi="Calibri"/>
          <w:color w:val="525866"/>
          <w:sz w:val="22"/>
        </w:rPr>
        <w:t xml:space="preserve"> AI sector growth continues to drive outsized demand in San Francisco (EQR’s best-performing market); concession use in downtown SF is “virtually nonexistent.” </w:t>
      </w:r>
      <w:r>
        <w:rPr>
          <w:rFonts w:ascii="Calibri" w:hAnsi="Calibri"/>
          <w:i/>
          <w:color w:val="525866"/>
          <w:sz w:val="22"/>
        </w:rPr>
        <w:t>Implication:</w:t>
      </w:r>
      <w:r>
        <w:rPr>
          <w:rFonts w:ascii="Calibri" w:hAnsi="Calibri"/>
          <w:i/>
          <w:color w:val="525866"/>
          <w:sz w:val="22"/>
        </w:rPr>
        <w:t xml:space="preserve"> Positive read-through for Q2 SF performance; any acceleration in AI hiring or office leasing would be an upside catalyst.</w:t>
      </w:r>
    </w:p>
    <w:p>
      <w:pPr>
        <w:pStyle w:val="ListBullet"/>
        <w:ind w:left="360" w:hanging="360"/>
      </w:pPr>
      <w:r>
        <w:rPr>
          <w:rFonts w:ascii="Calibri" w:hAnsi="Calibri"/>
          <w:b/>
          <w:color w:val="525866"/>
          <w:sz w:val="22"/>
        </w:rPr>
        <w:t>Ongoing — Strategic California Reduction (Los Angeles):</w:t>
      </w:r>
      <w:r>
        <w:rPr>
          <w:rFonts w:ascii="Calibri" w:hAnsi="Calibri"/>
          <w:color w:val="525866"/>
          <w:sz w:val="22"/>
        </w:rPr>
        <w:t xml:space="preserve"> Management flagged a strategic goal of reducing California exposure over time, primarily through L.A. reduction, citing a paradigm shift in the entertainment industry. </w:t>
      </w:r>
      <w:r>
        <w:rPr>
          <w:rFonts w:ascii="Calibri" w:hAnsi="Calibri"/>
          <w:i/>
          <w:color w:val="525866"/>
          <w:sz w:val="22"/>
        </w:rPr>
        <w:t>Implication:</w:t>
      </w:r>
      <w:r>
        <w:rPr>
          <w:rFonts w:ascii="Calibri" w:hAnsi="Calibri"/>
          <w:i/>
          <w:color w:val="525866"/>
          <w:sz w:val="22"/>
        </w:rPr>
        <w:t xml:space="preserve"> Potential disposition activity in L.A. could be a near-term catalyst; watch for any asset sale announcements.</w:t>
      </w:r>
    </w:p>
    <w:p>
      <w:r>
        <w:br w:type="page"/>
      </w:r>
    </w:p>
    <w:p>
      <w:pPr>
        <w:pStyle w:val="Heading1"/>
        <w:pBdr>
          <w:bottom w:val="single" w:sz="4" w:space="1" w:color="FB9120"/>
        </w:pBdr>
      </w:pPr>
      <w:r>
        <w:rPr>
          <w:rFonts w:ascii="Calibri" w:hAnsi="Calibri"/>
          <w:b/>
          <w:color w:val="3B4259"/>
          <w:sz w:val="40"/>
        </w:rPr>
        <w:t>7. Peer Commentaries — Q2 2026 Read-Throughs</w:t>
      </w:r>
    </w:p>
    <w:p>
      <w:r>
        <w:rPr>
          <w:rFonts w:ascii="Calibri" w:hAnsi="Calibri"/>
          <w:b/>
          <w:color w:val="525866"/>
          <w:sz w:val="22"/>
        </w:rPr>
        <w:t xml:space="preserve">Key Takeaway: </w:t>
      </w:r>
      <w:r>
        <w:rPr>
          <w:rFonts w:ascii="Calibri" w:hAnsi="Calibri"/>
          <w:color w:val="525866"/>
          <w:sz w:val="22"/>
        </w:rPr>
        <w:t xml:space="preserve">All four apartment REIT peers (AVB, ESS, UDR, CPT/MAA) reported Q1 2026 results in late April/early May and provided Q2 2026 forward commentary. The read-through is broadly </w:t>
      </w:r>
      <w:r>
        <w:rPr>
          <w:rFonts w:ascii="Calibri" w:hAnsi="Calibri"/>
          <w:b/>
          <w:color w:val="525866"/>
          <w:sz w:val="22"/>
        </w:rPr>
        <w:t>constructive for EQR</w:t>
      </w:r>
      <w:r>
        <w:rPr>
          <w:rFonts w:ascii="Calibri" w:hAnsi="Calibri"/>
          <w:color w:val="525866"/>
          <w:sz w:val="22"/>
        </w:rPr>
        <w:t xml:space="preserve">: coastal markets (SF, NY) are universally strong, supply is declining sharply, and renewal pricing is holding at ~5% across the sector. The key divergence is </w:t>
      </w:r>
      <w:r>
        <w:rPr>
          <w:rFonts w:ascii="Calibri" w:hAnsi="Calibri"/>
          <w:b/>
          <w:color w:val="525866"/>
          <w:sz w:val="22"/>
        </w:rPr>
        <w:t>new lease change trajectory</w:t>
      </w:r>
      <w:r>
        <w:rPr>
          <w:rFonts w:ascii="Calibri" w:hAnsi="Calibri"/>
          <w:color w:val="525866"/>
          <w:sz w:val="22"/>
        </w:rPr>
        <w:t xml:space="preserve"> — peers confirm it is building sequentially but remains negative in weaker markets (L.A., Boston, Seattle, Sunbelt), consistent with EQR’s own guidance.</w:t>
      </w:r>
    </w:p>
    <w:p>
      <w:r>
        <w:rPr>
          <w:rFonts w:ascii="Calibri" w:hAnsi="Calibri"/>
          <w:i/>
          <w:color w:val="525866"/>
          <w:sz w:val="22"/>
        </w:rPr>
        <w:t>Note: All peer commentary below is from Q1 2026 earnings calls (reported late April / early May 2026), providing forward-looking color on Q2 2026 and the 2026 leasing season. This is the relevant read-through period for EQR’s upcoming Q2 2026 print.</w:t>
      </w:r>
    </w:p>
    <w:p>
      <w:pPr>
        <w:pStyle w:val="Heading2"/>
      </w:pPr>
      <w:r>
        <w:rPr>
          <w:rFonts w:ascii="Calibri" w:hAnsi="Calibri"/>
          <w:b/>
          <w:color w:val="3B4259"/>
          <w:sz w:val="28"/>
        </w:rPr>
        <w:t>AvalonBay Communities (AVB) — Q1 2026 Earnings Call (Apr 28, 2026)</w:t>
      </w:r>
    </w:p>
    <w:p>
      <w:r>
        <w:rPr>
          <w:rFonts w:ascii="Calibri" w:hAnsi="Calibri"/>
          <w:b/>
          <w:color w:val="525866"/>
          <w:sz w:val="22"/>
        </w:rPr>
        <w:t xml:space="preserve">Relevance to EQR: </w:t>
      </w:r>
      <w:r>
        <w:rPr>
          <w:rFonts w:ascii="Calibri" w:hAnsi="Calibri"/>
          <w:color w:val="525866"/>
          <w:sz w:val="22"/>
        </w:rPr>
        <w:t>AVB is EQR’s closest peer — both are large-cap coastal apartment REITs with significant exposure to New York, Northern California, Boston, Seattle, and Mid-Atlantic. AVB’s commentary is the highest-quality read-through for EQR’s coastal portfolio performance.</w:t>
      </w:r>
    </w:p>
    <w:p>
      <w:pPr>
        <w:pStyle w:val="ListBullet"/>
        <w:ind w:left="360" w:hanging="360"/>
      </w:pPr>
      <w:r>
        <w:rPr>
          <w:rFonts w:ascii="Calibri" w:hAnsi="Calibri"/>
          <w:b/>
          <w:color w:val="525866"/>
          <w:sz w:val="22"/>
        </w:rPr>
        <w:t>Peak leasing season setup is strong:</w:t>
      </w:r>
      <w:r>
        <w:rPr>
          <w:rFonts w:ascii="Calibri" w:hAnsi="Calibri"/>
          <w:color w:val="525866"/>
          <w:sz w:val="22"/>
        </w:rPr>
        <w:t xml:space="preserve"> AVB entered Q2 with occupancy “north of 96%” and a 260 bps ramp in rent change since January 1. Renewal offers for May/June sent at 5%–5.5% (100 bps higher than Feb/March offers). </w:t>
      </w:r>
      <w:r>
        <w:rPr>
          <w:rFonts w:ascii="Calibri" w:hAnsi="Calibri"/>
          <w:i/>
          <w:color w:val="525866"/>
          <w:sz w:val="22"/>
        </w:rPr>
        <w:t>EQR read-through:</w:t>
      </w:r>
      <w:r>
        <w:rPr>
          <w:rFonts w:ascii="Calibri" w:hAnsi="Calibri"/>
          <w:i/>
          <w:color w:val="525866"/>
          <w:sz w:val="22"/>
        </w:rPr>
        <w:t xml:space="preserve"> Directly corroborates EQR’s own guidance of ~5% renewal rate increases through peak season. Positive signal for Q2 renewal execution.</w:t>
      </w:r>
    </w:p>
    <w:p>
      <w:pPr>
        <w:pStyle w:val="ListBullet"/>
        <w:ind w:left="360" w:hanging="360"/>
      </w:pPr>
      <w:r>
        <w:rPr>
          <w:rFonts w:ascii="Calibri" w:hAnsi="Calibri"/>
          <w:b/>
          <w:color w:val="525866"/>
          <w:sz w:val="22"/>
        </w:rPr>
        <w:t>New lease change building but still negative:</w:t>
      </w:r>
      <w:r>
        <w:rPr>
          <w:rFonts w:ascii="Calibri" w:hAnsi="Calibri"/>
          <w:color w:val="525866"/>
          <w:sz w:val="22"/>
        </w:rPr>
        <w:t xml:space="preserve"> AVB guided Q2 blended rate to average ~2% for the full year (H1 at 1.25%, H2 at 2.5%), with new lease change expected at ~0% for the year and renewals at ~3.5%. April blended rate was in the “high 1% range, almost 2%.” </w:t>
      </w:r>
      <w:r>
        <w:rPr>
          <w:rFonts w:ascii="Calibri" w:hAnsi="Calibri"/>
          <w:i/>
          <w:color w:val="525866"/>
          <w:sz w:val="22"/>
        </w:rPr>
        <w:t>EQR read-through:</w:t>
      </w:r>
      <w:r>
        <w:rPr>
          <w:rFonts w:ascii="Calibri" w:hAnsi="Calibri"/>
          <w:i/>
          <w:color w:val="525866"/>
          <w:sz w:val="22"/>
        </w:rPr>
        <w:t xml:space="preserve"> Consistent with EQR’s guidance that new lease change would build sequentially toward flat in Q2. AVB’s April data point (high 1% blended) suggests EQR’s Q2 consensus of 3.0% blended may be achievable given EQR’s stronger SF/NY weighting.</w:t>
      </w:r>
    </w:p>
    <w:p>
      <w:pPr>
        <w:pStyle w:val="ListBullet"/>
        <w:ind w:left="360" w:hanging="360"/>
      </w:pPr>
      <w:r>
        <w:rPr>
          <w:rFonts w:ascii="Calibri" w:hAnsi="Calibri"/>
          <w:b/>
          <w:color w:val="525866"/>
          <w:sz w:val="22"/>
        </w:rPr>
        <w:t>New York Metro and Northern California are the strongest markets:</w:t>
      </w:r>
      <w:r>
        <w:rPr>
          <w:rFonts w:ascii="Calibri" w:hAnsi="Calibri"/>
          <w:color w:val="525866"/>
          <w:sz w:val="22"/>
        </w:rPr>
        <w:t xml:space="preserve"> Both regions produced revenue growth “slightly ahead of budget” in Q1. San Francisco strength is spilling over into the East Bay. </w:t>
      </w:r>
      <w:r>
        <w:rPr>
          <w:rFonts w:ascii="Calibri" w:hAnsi="Calibri"/>
          <w:i/>
          <w:color w:val="525866"/>
          <w:sz w:val="22"/>
        </w:rPr>
        <w:t>EQR read-through:</w:t>
      </w:r>
      <w:r>
        <w:rPr>
          <w:rFonts w:ascii="Calibri" w:hAnsi="Calibri"/>
          <w:i/>
          <w:color w:val="525866"/>
          <w:sz w:val="22"/>
        </w:rPr>
        <w:t xml:space="preserve"> Strong positive for EQR, which derives significant NOI from SF and NY. Validates EQR management’s characterization of SF as “best-performing market.”</w:t>
      </w:r>
    </w:p>
    <w:p>
      <w:pPr>
        <w:pStyle w:val="ListBullet"/>
        <w:ind w:left="360" w:hanging="360"/>
      </w:pPr>
      <w:r>
        <w:rPr>
          <w:rFonts w:ascii="Calibri" w:hAnsi="Calibri"/>
          <w:b/>
          <w:color w:val="525866"/>
          <w:sz w:val="22"/>
        </w:rPr>
        <w:t>Boston, L.A., and Seattle are the weak spots:</w:t>
      </w:r>
      <w:r>
        <w:rPr>
          <w:rFonts w:ascii="Calibri" w:hAnsi="Calibri"/>
          <w:color w:val="525866"/>
          <w:sz w:val="22"/>
        </w:rPr>
        <w:t xml:space="preserve"> These three markets “modestly underperformed” AVB’s revenue expectations. L.A. has “no near-term catalyst” beyond World Cup/Olympics. Boston and Seattle had “basically no job growth” in the last 6 months. </w:t>
      </w:r>
      <w:r>
        <w:rPr>
          <w:rFonts w:ascii="Calibri" w:hAnsi="Calibri"/>
          <w:i/>
          <w:color w:val="525866"/>
          <w:sz w:val="22"/>
        </w:rPr>
        <w:t>EQR read-through:</w:t>
      </w:r>
      <w:r>
        <w:rPr>
          <w:rFonts w:ascii="Calibri" w:hAnsi="Calibri"/>
          <w:i/>
          <w:color w:val="525866"/>
          <w:sz w:val="22"/>
        </w:rPr>
        <w:t xml:space="preserve"> Confirms EQR’s own cautious commentary on these markets. No positive surprise expected from Boston or Seattle in Q2.</w:t>
      </w:r>
    </w:p>
    <w:p>
      <w:pPr>
        <w:pStyle w:val="ListBullet"/>
        <w:ind w:left="360" w:hanging="360"/>
      </w:pPr>
      <w:r>
        <w:rPr>
          <w:rFonts w:ascii="Calibri" w:hAnsi="Calibri"/>
          <w:b/>
          <w:color w:val="525866"/>
          <w:sz w:val="22"/>
        </w:rPr>
        <w:t>Supply backdrop is “very constructive”:</w:t>
      </w:r>
      <w:r>
        <w:rPr>
          <w:rFonts w:ascii="Calibri" w:hAnsi="Calibri"/>
          <w:color w:val="525866"/>
          <w:sz w:val="22"/>
        </w:rPr>
        <w:t xml:space="preserve"> New market rate deliveries down to 80 bps of stock in established regions; projected to dip further over the next 1–2 years. AVB affirmed full-year guidance despite strong Q1 beat, citing early-season caution. </w:t>
      </w:r>
      <w:r>
        <w:rPr>
          <w:rFonts w:ascii="Calibri" w:hAnsi="Calibri"/>
          <w:i/>
          <w:color w:val="525866"/>
          <w:sz w:val="22"/>
        </w:rPr>
        <w:t>EQR read-through:</w:t>
      </w:r>
      <w:r>
        <w:rPr>
          <w:rFonts w:ascii="Calibri" w:hAnsi="Calibri"/>
          <w:i/>
          <w:color w:val="525866"/>
          <w:sz w:val="22"/>
        </w:rPr>
        <w:t xml:space="preserve"> Sector-wide supply tailwind is real and accelerating. AVB’s decision to hold guidance (rather than raise) mirrors EQR’s posture — both companies are waiting for peak-season data before revising up.</w:t>
      </w:r>
    </w:p>
    <w:p>
      <w:pPr>
        <w:pStyle w:val="ListBullet"/>
        <w:ind w:left="360" w:hanging="360"/>
      </w:pPr>
      <w:r>
        <w:rPr>
          <w:rFonts w:ascii="Calibri" w:hAnsi="Calibri"/>
          <w:b/>
          <w:color w:val="525866"/>
          <w:sz w:val="22"/>
        </w:rPr>
        <w:t>Mid-Atlantic stabilizing:</w:t>
      </w:r>
      <w:r>
        <w:rPr>
          <w:rFonts w:ascii="Calibri" w:hAnsi="Calibri"/>
          <w:color w:val="525866"/>
          <w:sz w:val="22"/>
        </w:rPr>
        <w:t xml:space="preserve"> AVB noted the “hangover from job cuts” is fading in the Mid-Atlantic, with average asking rent year-over-year “about flat” (better than the anticipated decline). </w:t>
      </w:r>
      <w:r>
        <w:rPr>
          <w:rFonts w:ascii="Calibri" w:hAnsi="Calibri"/>
          <w:i/>
          <w:color w:val="525866"/>
          <w:sz w:val="22"/>
        </w:rPr>
        <w:t>EQR read-through:</w:t>
      </w:r>
      <w:r>
        <w:rPr>
          <w:rFonts w:ascii="Calibri" w:hAnsi="Calibri"/>
          <w:i/>
          <w:color w:val="525866"/>
          <w:sz w:val="22"/>
        </w:rPr>
        <w:t xml:space="preserve"> Modest positive for EQR’s D.C. portfolio, which management described as “performing in line with modest expectations.” Stabilization rather than deterioration is the base case.</w:t>
      </w:r>
    </w:p>
    <w:p>
      <w:pPr>
        <w:pStyle w:val="Heading2"/>
      </w:pPr>
      <w:r>
        <w:rPr>
          <w:rFonts w:ascii="Calibri" w:hAnsi="Calibri"/>
          <w:b/>
          <w:color w:val="3B4259"/>
          <w:sz w:val="28"/>
        </w:rPr>
        <w:t>Essex Property Trust (ESS) — Q1 2026 Earnings Call (Apr 29, 2026)</w:t>
      </w:r>
    </w:p>
    <w:p>
      <w:r>
        <w:rPr>
          <w:rFonts w:ascii="Calibri" w:hAnsi="Calibri"/>
          <w:b/>
          <w:color w:val="525866"/>
          <w:sz w:val="22"/>
        </w:rPr>
        <w:t xml:space="preserve">Relevance to EQR: </w:t>
      </w:r>
      <w:r>
        <w:rPr>
          <w:rFonts w:ascii="Calibri" w:hAnsi="Calibri"/>
          <w:color w:val="525866"/>
          <w:sz w:val="22"/>
        </w:rPr>
        <w:t>ESS is a pure West Coast apartment REIT (California + Seattle), making it the best read-through for EQR’s Northern California, Southern California, and Seattle markets specifically. ESS’s commentary on SF, L.A., and Seattle is highly relevant.</w:t>
      </w:r>
    </w:p>
    <w:p>
      <w:pPr>
        <w:pStyle w:val="ListBullet"/>
        <w:ind w:left="360" w:hanging="360"/>
      </w:pPr>
      <w:r>
        <w:rPr>
          <w:rFonts w:ascii="Calibri" w:hAnsi="Calibri"/>
          <w:b/>
          <w:color w:val="525866"/>
          <w:sz w:val="22"/>
        </w:rPr>
        <w:t>April blended lease rate growth north of 3% at 96.4% occupancy:</w:t>
      </w:r>
      <w:r>
        <w:rPr>
          <w:rFonts w:ascii="Calibri" w:hAnsi="Calibri"/>
          <w:color w:val="525866"/>
          <w:sz w:val="22"/>
        </w:rPr>
        <w:t xml:space="preserve"> ESS reported April financial occupancy of 96.4% and blended lease rate growth “north of 3%” (new leases at -90 bps, renewals at ~5%). Renewals are “pretty darn sticky.” </w:t>
      </w:r>
      <w:r>
        <w:rPr>
          <w:rFonts w:ascii="Calibri" w:hAnsi="Calibri"/>
          <w:i/>
          <w:color w:val="525866"/>
          <w:sz w:val="22"/>
        </w:rPr>
        <w:t>EQR read-through:</w:t>
      </w:r>
      <w:r>
        <w:rPr>
          <w:rFonts w:ascii="Calibri" w:hAnsi="Calibri"/>
          <w:i/>
          <w:color w:val="525866"/>
          <w:sz w:val="22"/>
        </w:rPr>
        <w:t xml:space="preserve"> Directly corroborates EQR’s Q2 consensus of 3.0% blended rate. ESS’s April data point is the most timely comparable for EQR’s coastal portfolio.</w:t>
      </w:r>
    </w:p>
    <w:p>
      <w:pPr>
        <w:pStyle w:val="ListBullet"/>
        <w:ind w:left="360" w:hanging="360"/>
      </w:pPr>
      <w:r>
        <w:rPr>
          <w:rFonts w:ascii="Calibri" w:hAnsi="Calibri"/>
          <w:b/>
          <w:color w:val="525866"/>
          <w:sz w:val="22"/>
        </w:rPr>
        <w:t>Northern California is the best-performing region; AI is a direct demand driver:</w:t>
      </w:r>
      <w:r>
        <w:rPr>
          <w:rFonts w:ascii="Calibri" w:hAnsi="Calibri"/>
          <w:color w:val="525866"/>
          <w:sz w:val="22"/>
        </w:rPr>
        <w:t xml:space="preserve"> ESS described Northern California as its “best-performing region” with the highest concentration of tech companies. Domestic immigration to the Bay Area is above pre-COVID levels. Rent-to-income ratios at 21.5% vs. 20-year average of 26% — “significant rent upside.” </w:t>
      </w:r>
      <w:r>
        <w:rPr>
          <w:rFonts w:ascii="Calibri" w:hAnsi="Calibri"/>
          <w:i/>
          <w:color w:val="525866"/>
          <w:sz w:val="22"/>
        </w:rPr>
        <w:t>EQR read-through:</w:t>
      </w:r>
      <w:r>
        <w:rPr>
          <w:rFonts w:ascii="Calibri" w:hAnsi="Calibri"/>
          <w:i/>
          <w:color w:val="525866"/>
          <w:sz w:val="22"/>
        </w:rPr>
        <w:t xml:space="preserve"> Strong positive for EQR’s SF portfolio. ESS’s affordability data (21.5% rent-to-income vs. 26% historical average) suggests meaningful pricing power runway in SF.</w:t>
      </w:r>
    </w:p>
    <w:p>
      <w:pPr>
        <w:pStyle w:val="ListBullet"/>
        <w:ind w:left="360" w:hanging="360"/>
      </w:pPr>
      <w:r>
        <w:rPr>
          <w:rFonts w:ascii="Calibri" w:hAnsi="Calibri"/>
          <w:b/>
          <w:color w:val="525866"/>
          <w:sz w:val="22"/>
        </w:rPr>
        <w:t>L.A. is “progressing at a glacial pace”:</w:t>
      </w:r>
      <w:r>
        <w:rPr>
          <w:rFonts w:ascii="Calibri" w:hAnsi="Calibri"/>
          <w:color w:val="525866"/>
          <w:sz w:val="22"/>
        </w:rPr>
        <w:t xml:space="preserve"> ESS described L.A. as its “most challenging” market. If L.A. were excluded, April new lease rates would be 180 bps higher (flipping to +90 bps positive). Eviction processing time improved to ~4 months from 6 months. </w:t>
      </w:r>
      <w:r>
        <w:rPr>
          <w:rFonts w:ascii="Calibri" w:hAnsi="Calibri"/>
          <w:i/>
          <w:color w:val="525866"/>
          <w:sz w:val="22"/>
        </w:rPr>
        <w:t>EQR read-through:</w:t>
      </w:r>
      <w:r>
        <w:rPr>
          <w:rFonts w:ascii="Calibri" w:hAnsi="Calibri"/>
          <w:i/>
          <w:color w:val="525866"/>
          <w:sz w:val="22"/>
        </w:rPr>
        <w:t xml:space="preserve"> Confirms EQR’s cautious L.A. stance. No near-term catalyst for L.A. pricing power recovery.</w:t>
      </w:r>
    </w:p>
    <w:p>
      <w:pPr>
        <w:pStyle w:val="ListBullet"/>
        <w:ind w:left="360" w:hanging="360"/>
      </w:pPr>
      <w:r>
        <w:rPr>
          <w:rFonts w:ascii="Calibri" w:hAnsi="Calibri"/>
          <w:b/>
          <w:color w:val="525866"/>
          <w:sz w:val="22"/>
        </w:rPr>
        <w:t>Seattle lease rates flipped positive in March and continued in April:</w:t>
      </w:r>
      <w:r>
        <w:rPr>
          <w:rFonts w:ascii="Calibri" w:hAnsi="Calibri"/>
          <w:color w:val="525866"/>
          <w:sz w:val="22"/>
        </w:rPr>
        <w:t xml:space="preserve"> ESS noted Seattle is “starting to catch up to the Bay Area market on the renewal side.” East Side (Bellevue/Redmond) outperforming CBD. </w:t>
      </w:r>
      <w:r>
        <w:rPr>
          <w:rFonts w:ascii="Calibri" w:hAnsi="Calibri"/>
          <w:i/>
          <w:color w:val="525866"/>
          <w:sz w:val="22"/>
        </w:rPr>
        <w:t>EQR read-through:</w:t>
      </w:r>
      <w:r>
        <w:rPr>
          <w:rFonts w:ascii="Calibri" w:hAnsi="Calibri"/>
          <w:i/>
          <w:color w:val="525866"/>
          <w:sz w:val="22"/>
        </w:rPr>
        <w:t xml:space="preserve"> Modestly positive for EQR’s Seattle portfolio, particularly the Bellevue/Redmond submarket that EQR management also highlighted as showing positive momentum.</w:t>
      </w:r>
    </w:p>
    <w:p>
      <w:pPr>
        <w:pStyle w:val="ListBullet"/>
        <w:ind w:left="360" w:hanging="360"/>
      </w:pPr>
      <w:r>
        <w:rPr>
          <w:rFonts w:ascii="Calibri" w:hAnsi="Calibri"/>
          <w:b/>
          <w:color w:val="525866"/>
          <w:sz w:val="22"/>
        </w:rPr>
        <w:t>California permitting at historical lows; supply to remain low for “several years”:</w:t>
      </w:r>
      <w:r>
        <w:rPr>
          <w:rFonts w:ascii="Calibri" w:hAnsi="Calibri"/>
          <w:color w:val="525866"/>
          <w:sz w:val="22"/>
        </w:rPr>
        <w:t xml:space="preserve"> ESS expects new housing deliveries to remain at ~0.5% of existing stock for the next several years. Cap rate compression of 50 bps since 2024 in Bay Area. </w:t>
      </w:r>
      <w:r>
        <w:rPr>
          <w:rFonts w:ascii="Calibri" w:hAnsi="Calibri"/>
          <w:i/>
          <w:color w:val="525866"/>
          <w:sz w:val="22"/>
        </w:rPr>
        <w:t>EQR read-through:</w:t>
      </w:r>
      <w:r>
        <w:rPr>
          <w:rFonts w:ascii="Calibri" w:hAnsi="Calibri"/>
          <w:i/>
          <w:color w:val="525866"/>
          <w:sz w:val="22"/>
        </w:rPr>
        <w:t xml:space="preserve"> Validates EQR’s multi-year supply tailwind thesis. Increased capital interest in West Coast assets is a positive for EQR’s NAV.</w:t>
      </w:r>
    </w:p>
    <w:p>
      <w:pPr>
        <w:pStyle w:val="ListBullet"/>
        <w:ind w:left="360" w:hanging="360"/>
      </w:pPr>
      <w:r>
        <w:rPr>
          <w:rFonts w:ascii="Calibri" w:hAnsi="Calibri"/>
          <w:b/>
          <w:color w:val="525866"/>
          <w:sz w:val="22"/>
        </w:rPr>
        <w:t>Full-year guidance reaffirmed despite strong start:</w:t>
      </w:r>
      <w:r>
        <w:rPr>
          <w:rFonts w:ascii="Calibri" w:hAnsi="Calibri"/>
          <w:color w:val="525866"/>
          <w:sz w:val="22"/>
        </w:rPr>
        <w:t xml:space="preserve"> ESS reaffirmed same-property growth and core FFO guidance, citing desire for “further visibility into peak leasing season” before adjusting. </w:t>
      </w:r>
      <w:r>
        <w:rPr>
          <w:rFonts w:ascii="Calibri" w:hAnsi="Calibri"/>
          <w:i/>
          <w:color w:val="525866"/>
          <w:sz w:val="22"/>
        </w:rPr>
        <w:t>EQR read-through:</w:t>
      </w:r>
      <w:r>
        <w:rPr>
          <w:rFonts w:ascii="Calibri" w:hAnsi="Calibri"/>
          <w:i/>
          <w:color w:val="525866"/>
          <w:sz w:val="22"/>
        </w:rPr>
        <w:t xml:space="preserve"> Consistent with EQR’s own posture. Sector-wide pattern of holding guidance at Q1 suggests Q2 prints could be the catalyst for guidance raises across the sector.</w:t>
      </w:r>
    </w:p>
    <w:p>
      <w:pPr>
        <w:pStyle w:val="Heading2"/>
      </w:pPr>
      <w:r>
        <w:rPr>
          <w:rFonts w:ascii="Calibri" w:hAnsi="Calibri"/>
          <w:b/>
          <w:color w:val="3B4259"/>
          <w:sz w:val="28"/>
        </w:rPr>
        <w:t>UDR, Inc. (UDR) — Q1 2026 Earnings Call (Apr 30, 2026)</w:t>
      </w:r>
    </w:p>
    <w:p>
      <w:r>
        <w:rPr>
          <w:rFonts w:ascii="Calibri" w:hAnsi="Calibri"/>
          <w:b/>
          <w:color w:val="525866"/>
          <w:sz w:val="22"/>
        </w:rPr>
        <w:t xml:space="preserve">Relevance to EQR: </w:t>
      </w:r>
      <w:r>
        <w:rPr>
          <w:rFonts w:ascii="Calibri" w:hAnsi="Calibri"/>
          <w:color w:val="525866"/>
          <w:sz w:val="22"/>
        </w:rPr>
        <w:t>UDR has a mixed coastal/Sunbelt portfolio with significant exposure to San Francisco, New York, and Boston. Its commentary on coastal market dynamics and the coastal vs. Sunbelt performance divergence is a useful read-through for EQR’s portfolio mix.</w:t>
      </w:r>
    </w:p>
    <w:p>
      <w:pPr>
        <w:pStyle w:val="ListBullet"/>
        <w:ind w:left="360" w:hanging="360"/>
      </w:pPr>
      <w:r>
        <w:rPr>
          <w:rFonts w:ascii="Calibri" w:hAnsi="Calibri"/>
          <w:b/>
          <w:color w:val="525866"/>
          <w:sz w:val="22"/>
        </w:rPr>
        <w:t>San Francisco is the standout market: ~10% blended lease rate growth, 97%+ occupancy:</w:t>
      </w:r>
      <w:r>
        <w:rPr>
          <w:rFonts w:ascii="Calibri" w:hAnsi="Calibri"/>
          <w:color w:val="525866"/>
          <w:sz w:val="22"/>
        </w:rPr>
        <w:t xml:space="preserve"> UDR described SF as showing “the strongest revenue growth in the portfolio” driven by AI demand, return-to-office, and very low supply. </w:t>
      </w:r>
      <w:r>
        <w:rPr>
          <w:rFonts w:ascii="Calibri" w:hAnsi="Calibri"/>
          <w:i/>
          <w:color w:val="525866"/>
          <w:sz w:val="22"/>
        </w:rPr>
        <w:t>EQR read-through:</w:t>
      </w:r>
      <w:r>
        <w:rPr>
          <w:rFonts w:ascii="Calibri" w:hAnsi="Calibri"/>
          <w:i/>
          <w:color w:val="525866"/>
          <w:sz w:val="22"/>
        </w:rPr>
        <w:t xml:space="preserve"> Extremely positive for EQR’s SF portfolio. UDR’s ~10% blended rate in SF is consistent with EQR management’s comment that SF is “putting up kind of near 10% kind of change.”</w:t>
      </w:r>
    </w:p>
    <w:p>
      <w:pPr>
        <w:pStyle w:val="ListBullet"/>
        <w:ind w:left="360" w:hanging="360"/>
      </w:pPr>
      <w:r>
        <w:rPr>
          <w:rFonts w:ascii="Calibri" w:hAnsi="Calibri"/>
          <w:b/>
          <w:color w:val="525866"/>
          <w:sz w:val="22"/>
        </w:rPr>
        <w:t>New York delivering ~7% blended lease rate growth at 98%+ occupancy:</w:t>
      </w:r>
      <w:r>
        <w:rPr>
          <w:rFonts w:ascii="Calibri" w:hAnsi="Calibri"/>
          <w:color w:val="525866"/>
          <w:sz w:val="22"/>
        </w:rPr>
        <w:t xml:space="preserve"> UDR described NY as “delivering strong revenue growth” with forward indicators suggesting continued strength. </w:t>
      </w:r>
      <w:r>
        <w:rPr>
          <w:rFonts w:ascii="Calibri" w:hAnsi="Calibri"/>
          <w:i/>
          <w:color w:val="525866"/>
          <w:sz w:val="22"/>
        </w:rPr>
        <w:t>EQR read-through:</w:t>
      </w:r>
      <w:r>
        <w:rPr>
          <w:rFonts w:ascii="Calibri" w:hAnsi="Calibri"/>
          <w:i/>
          <w:color w:val="525866"/>
          <w:sz w:val="22"/>
        </w:rPr>
        <w:t xml:space="preserve"> Strong positive for EQR’s NY portfolio (~14% of portfolio). Validates EQR’s “trading mindset” for NY at current weighting.</w:t>
      </w:r>
    </w:p>
    <w:p>
      <w:pPr>
        <w:pStyle w:val="ListBullet"/>
        <w:ind w:left="360" w:hanging="360"/>
      </w:pPr>
      <w:r>
        <w:rPr>
          <w:rFonts w:ascii="Calibri" w:hAnsi="Calibri"/>
          <w:b/>
          <w:color w:val="525866"/>
          <w:sz w:val="22"/>
        </w:rPr>
        <w:t>Q2 2026 blended lease rate guidance of 1.5%–2.0%; April blended at 1.6%:</w:t>
      </w:r>
      <w:r>
        <w:rPr>
          <w:rFonts w:ascii="Calibri" w:hAnsi="Calibri"/>
          <w:color w:val="525866"/>
          <w:sz w:val="22"/>
        </w:rPr>
        <w:t xml:space="preserve"> UDR’s coastal regions (75% of NOI) showed 3.1% blended in April (up from 2.8% in Q1). Sunbelt markets retreated slightly in April (from -1.5% to -2.5%), driven by Florida and Nashville. </w:t>
      </w:r>
      <w:r>
        <w:rPr>
          <w:rFonts w:ascii="Calibri" w:hAnsi="Calibri"/>
          <w:i/>
          <w:color w:val="525866"/>
          <w:sz w:val="22"/>
        </w:rPr>
        <w:t>EQR read-through:</w:t>
      </w:r>
      <w:r>
        <w:rPr>
          <w:rFonts w:ascii="Calibri" w:hAnsi="Calibri"/>
          <w:i/>
          <w:color w:val="525866"/>
          <w:sz w:val="22"/>
        </w:rPr>
        <w:t xml:space="preserve"> UDR’s coastal-heavy portfolio (similar to EQR) is tracking at 3.1% blended in April — supportive of EQR’s Q2 consensus of 3.0%. The Sunbelt softness is less relevant for EQR given its smaller expansion market exposure.</w:t>
      </w:r>
    </w:p>
    <w:p>
      <w:pPr>
        <w:pStyle w:val="ListBullet"/>
        <w:ind w:left="360" w:hanging="360"/>
      </w:pPr>
      <w:r>
        <w:rPr>
          <w:rFonts w:ascii="Calibri" w:hAnsi="Calibri"/>
          <w:b/>
          <w:color w:val="525866"/>
          <w:sz w:val="22"/>
        </w:rPr>
        <w:t>Resident retention at all-time high; turnover 300 bps better than expected:</w:t>
      </w:r>
      <w:r>
        <w:rPr>
          <w:rFonts w:ascii="Calibri" w:hAnsi="Calibri"/>
          <w:color w:val="525866"/>
          <w:sz w:val="22"/>
        </w:rPr>
        <w:t xml:space="preserve"> UDR attributed high retention to its customer experience platform. Renewal offers through July at 5%–5.5%. </w:t>
      </w:r>
      <w:r>
        <w:rPr>
          <w:rFonts w:ascii="Calibri" w:hAnsi="Calibri"/>
          <w:i/>
          <w:color w:val="525866"/>
          <w:sz w:val="22"/>
        </w:rPr>
        <w:t>EQR read-through:</w:t>
      </w:r>
      <w:r>
        <w:rPr>
          <w:rFonts w:ascii="Calibri" w:hAnsi="Calibri"/>
          <w:i/>
          <w:color w:val="525866"/>
          <w:sz w:val="22"/>
        </w:rPr>
        <w:t xml:space="preserve"> Sector-wide retention strength corroborates EQR’s record-low turnover. Renewal pricing of 5%–5.5% is consistent across the sector.</w:t>
      </w:r>
    </w:p>
    <w:p>
      <w:pPr>
        <w:pStyle w:val="ListBullet"/>
        <w:ind w:left="360" w:hanging="360"/>
      </w:pPr>
      <w:r>
        <w:rPr>
          <w:rFonts w:ascii="Calibri" w:hAnsi="Calibri"/>
          <w:b/>
          <w:color w:val="525866"/>
          <w:sz w:val="22"/>
        </w:rPr>
        <w:t>Boston rent control ballot measure: UDR contributing ~$0.5M to oppose:</w:t>
      </w:r>
      <w:r>
        <w:rPr>
          <w:rFonts w:ascii="Calibri" w:hAnsi="Calibri"/>
          <w:color w:val="525866"/>
          <w:sz w:val="22"/>
        </w:rPr>
        <w:t xml:space="preserve"> UDR flagged the Massachusetts statewide rent control measure as a key regulatory risk and is actively engaged with local owner groups to oppose it. </w:t>
      </w:r>
      <w:r>
        <w:rPr>
          <w:rFonts w:ascii="Calibri" w:hAnsi="Calibri"/>
          <w:i/>
          <w:color w:val="525866"/>
          <w:sz w:val="22"/>
        </w:rPr>
        <w:t>EQR read-through:</w:t>
      </w:r>
      <w:r>
        <w:rPr>
          <w:rFonts w:ascii="Calibri" w:hAnsi="Calibri"/>
          <w:i/>
          <w:color w:val="525866"/>
          <w:sz w:val="22"/>
        </w:rPr>
        <w:t xml:space="preserve"> Confirms EQR’s own commentary on this risk. Industry-wide opposition is organized; outcome remains uncertain but the sector is mobilized.</w:t>
      </w:r>
    </w:p>
    <w:p>
      <w:pPr>
        <w:pStyle w:val="ListBullet"/>
        <w:ind w:left="360" w:hanging="360"/>
      </w:pPr>
      <w:r>
        <w:rPr>
          <w:rFonts w:ascii="Calibri" w:hAnsi="Calibri"/>
          <w:b/>
          <w:color w:val="525866"/>
          <w:sz w:val="22"/>
        </w:rPr>
        <w:t>Monthly dividend transition announced:</w:t>
      </w:r>
      <w:r>
        <w:rPr>
          <w:rFonts w:ascii="Calibri" w:hAnsi="Calibri"/>
          <w:color w:val="525866"/>
          <w:sz w:val="22"/>
        </w:rPr>
        <w:t xml:space="preserve"> UDR became the first residential REIT to transition to a monthly dividend, targeting high-net-worth investors and family offices. </w:t>
      </w:r>
      <w:r>
        <w:rPr>
          <w:rFonts w:ascii="Calibri" w:hAnsi="Calibri"/>
          <w:i/>
          <w:color w:val="525866"/>
          <w:sz w:val="22"/>
        </w:rPr>
        <w:t>EQR read-through:</w:t>
      </w:r>
      <w:r>
        <w:rPr>
          <w:rFonts w:ascii="Calibri" w:hAnsi="Calibri"/>
          <w:i/>
          <w:color w:val="525866"/>
          <w:sz w:val="22"/>
        </w:rPr>
        <w:t xml:space="preserve"> Not directly relevant to EQR’s operations, but signals sector-wide focus on expanding the shareholder base and improving capital access.</w:t>
      </w:r>
    </w:p>
    <w:p>
      <w:pPr>
        <w:pStyle w:val="Heading2"/>
      </w:pPr>
      <w:r>
        <w:rPr>
          <w:rFonts w:ascii="Calibri" w:hAnsi="Calibri"/>
          <w:b/>
          <w:color w:val="3B4259"/>
          <w:sz w:val="28"/>
        </w:rPr>
        <w:t>Camden Property Trust (CPT) — Q1 2026 Earnings Call (May 1, 2026)</w:t>
      </w:r>
    </w:p>
    <w:p>
      <w:r>
        <w:rPr>
          <w:rFonts w:ascii="Calibri" w:hAnsi="Calibri"/>
          <w:b/>
          <w:color w:val="525866"/>
          <w:sz w:val="22"/>
        </w:rPr>
        <w:t xml:space="preserve">Relevance to EQR: </w:t>
      </w:r>
      <w:r>
        <w:rPr>
          <w:rFonts w:ascii="Calibri" w:hAnsi="Calibri"/>
          <w:color w:val="525866"/>
          <w:sz w:val="22"/>
        </w:rPr>
        <w:t>CPT is a Sunbelt-focused apartment REIT (Dallas, Houston, Atlanta, Austin, Phoenix, Denver). Its commentary is most relevant for EQR’s expansion markets (Atlanta, Dallas, Denver, Austin) and provides a read-through on Sunbelt supply absorption dynamics.</w:t>
      </w:r>
    </w:p>
    <w:p>
      <w:pPr>
        <w:pStyle w:val="ListBullet"/>
        <w:ind w:left="360" w:hanging="360"/>
      </w:pPr>
      <w:r>
        <w:rPr>
          <w:rFonts w:ascii="Calibri" w:hAnsi="Calibri"/>
          <w:b/>
          <w:color w:val="525866"/>
          <w:sz w:val="22"/>
        </w:rPr>
        <w:t>New supply has “been cut in half in most markets”; “hockey stick” recovery expected in H2 2026:</w:t>
      </w:r>
      <w:r>
        <w:rPr>
          <w:rFonts w:ascii="Calibri" w:hAnsi="Calibri"/>
          <w:color w:val="525866"/>
          <w:sz w:val="22"/>
        </w:rPr>
        <w:t xml:space="preserve"> CPT described the current environment as “entire a supply story” with demand “incredibly strong.” Completions dropping from 200K in 2025 to 140–150K in 2026, then 135K in 2027 and 120K in 2028. </w:t>
      </w:r>
      <w:r>
        <w:rPr>
          <w:rFonts w:ascii="Calibri" w:hAnsi="Calibri"/>
          <w:i/>
          <w:color w:val="525866"/>
          <w:sz w:val="22"/>
        </w:rPr>
        <w:t>EQR read-through:</w:t>
      </w:r>
      <w:r>
        <w:rPr>
          <w:rFonts w:ascii="Calibri" w:hAnsi="Calibri"/>
          <w:i/>
          <w:color w:val="525866"/>
          <w:sz w:val="22"/>
        </w:rPr>
        <w:t xml:space="preserve"> Validates EQR’s thesis that expansion market recovery is coming but elongated. CPT’s “hockey stick” language for H2 2026 is consistent with EQR’s expectation of material concession declines in H2.</w:t>
      </w:r>
    </w:p>
    <w:p>
      <w:pPr>
        <w:pStyle w:val="ListBullet"/>
        <w:ind w:left="360" w:hanging="360"/>
      </w:pPr>
      <w:r>
        <w:rPr>
          <w:rFonts w:ascii="Calibri" w:hAnsi="Calibri"/>
          <w:b/>
          <w:color w:val="525866"/>
          <w:sz w:val="22"/>
        </w:rPr>
        <w:t>Atlanta, Dallas, Orlando, Nashville, Raleigh are “green shoots” markets:</w:t>
      </w:r>
      <w:r>
        <w:rPr>
          <w:rFonts w:ascii="Calibri" w:hAnsi="Calibri"/>
          <w:color w:val="525866"/>
          <w:sz w:val="22"/>
        </w:rPr>
        <w:t xml:space="preserve"> CPT expects these markets to “lead the return to normalcy” as excess supply is absorbed. Dallas led the nation in absolute job growth for the 12 months ended January 2026. </w:t>
      </w:r>
      <w:r>
        <w:rPr>
          <w:rFonts w:ascii="Calibri" w:hAnsi="Calibri"/>
          <w:i/>
          <w:color w:val="525866"/>
          <w:sz w:val="22"/>
        </w:rPr>
        <w:t>EQR read-through:</w:t>
      </w:r>
      <w:r>
        <w:rPr>
          <w:rFonts w:ascii="Calibri" w:hAnsi="Calibri"/>
          <w:i/>
          <w:color w:val="525866"/>
          <w:sz w:val="22"/>
        </w:rPr>
        <w:t xml:space="preserve"> Positive for EQR’s Atlanta and Dallas portfolios, which management described as “performing the best” among expansion markets. Atlanta potentially delivering slightly positive same-store revenue growth for the full year.</w:t>
      </w:r>
    </w:p>
    <w:p>
      <w:pPr>
        <w:pStyle w:val="ListBullet"/>
        <w:ind w:left="360" w:hanging="360"/>
      </w:pPr>
      <w:r>
        <w:rPr>
          <w:rFonts w:ascii="Calibri" w:hAnsi="Calibri"/>
          <w:b/>
          <w:color w:val="525866"/>
          <w:sz w:val="22"/>
        </w:rPr>
        <w:t>Austin remains challenged; concessions slowly declining:</w:t>
      </w:r>
      <w:r>
        <w:rPr>
          <w:rFonts w:ascii="Calibri" w:hAnsi="Calibri"/>
          <w:color w:val="525866"/>
          <w:sz w:val="22"/>
        </w:rPr>
        <w:t xml:space="preserve"> CPT described Austin as still under significant supply pressure, with concessions ticking down slowly from nearly two months. </w:t>
      </w:r>
      <w:r>
        <w:rPr>
          <w:rFonts w:ascii="Calibri" w:hAnsi="Calibri"/>
          <w:i/>
          <w:color w:val="525866"/>
          <w:sz w:val="22"/>
        </w:rPr>
        <w:t>EQR read-through:</w:t>
      </w:r>
      <w:r>
        <w:rPr>
          <w:rFonts w:ascii="Calibri" w:hAnsi="Calibri"/>
          <w:i/>
          <w:color w:val="525866"/>
          <w:sz w:val="22"/>
        </w:rPr>
        <w:t xml:space="preserve"> Consistent with EQR’s characterization of Austin as “at the rear” of expansion market recovery. EQR has only 3 properties in Austin.</w:t>
      </w:r>
    </w:p>
    <w:p>
      <w:pPr>
        <w:pStyle w:val="ListBullet"/>
        <w:ind w:left="360" w:hanging="360"/>
      </w:pPr>
      <w:r>
        <w:rPr>
          <w:rFonts w:ascii="Calibri" w:hAnsi="Calibri"/>
          <w:b/>
          <w:color w:val="525866"/>
          <w:sz w:val="22"/>
        </w:rPr>
        <w:t>Demand is “incredibly strong”; rent-to-income at 19%; domestic migration reaccelerating:</w:t>
      </w:r>
      <w:r>
        <w:rPr>
          <w:rFonts w:ascii="Calibri" w:hAnsi="Calibri"/>
          <w:color w:val="525866"/>
          <w:sz w:val="22"/>
        </w:rPr>
        <w:t xml:space="preserve"> CPT’s target demographic spending up 3% YoY. Wind’s Migration Tracker shows domestic migration reaccelerating in 2026 vs. 2025 in most Sunbelt markets. </w:t>
      </w:r>
      <w:r>
        <w:rPr>
          <w:rFonts w:ascii="Calibri" w:hAnsi="Calibri"/>
          <w:i/>
          <w:color w:val="525866"/>
          <w:sz w:val="22"/>
        </w:rPr>
        <w:t>EQR read-through:</w:t>
      </w:r>
      <w:r>
        <w:rPr>
          <w:rFonts w:ascii="Calibri" w:hAnsi="Calibri"/>
          <w:i/>
          <w:color w:val="525866"/>
          <w:sz w:val="22"/>
        </w:rPr>
        <w:t xml:space="preserve"> Positive macro backdrop for apartment demand broadly. EQR’s own rent-to-income ratio of 19% is consistent with CPT’s data.</w:t>
      </w:r>
    </w:p>
    <w:p>
      <w:pPr>
        <w:pStyle w:val="ListBullet"/>
        <w:ind w:left="360" w:hanging="360"/>
      </w:pPr>
      <w:r>
        <w:rPr>
          <w:rFonts w:ascii="Calibri" w:hAnsi="Calibri"/>
          <w:b/>
          <w:color w:val="525866"/>
          <w:sz w:val="22"/>
        </w:rPr>
        <w:t>California portfolio sale progressing (close expected end of June/early July):</w:t>
      </w:r>
      <w:r>
        <w:rPr>
          <w:rFonts w:ascii="Calibri" w:hAnsi="Calibri"/>
          <w:color w:val="525866"/>
          <w:sz w:val="22"/>
        </w:rPr>
        <w:t xml:space="preserve"> CPT is selling its entire California portfolio to one buyer, with ~60% of proceeds to be reinvested via 1031 exchanges into Sunbelt markets. </w:t>
      </w:r>
      <w:r>
        <w:rPr>
          <w:rFonts w:ascii="Calibri" w:hAnsi="Calibri"/>
          <w:i/>
          <w:color w:val="525866"/>
          <w:sz w:val="22"/>
        </w:rPr>
        <w:t>EQR read-through:</w:t>
      </w:r>
      <w:r>
        <w:rPr>
          <w:rFonts w:ascii="Calibri" w:hAnsi="Calibri"/>
          <w:i/>
          <w:color w:val="525866"/>
          <w:sz w:val="22"/>
        </w:rPr>
        <w:t xml:space="preserve"> Potential incremental buyer for California assets; could support cap rate stability in California markets where EQR is also considering strategic reductions.</w:t>
      </w:r>
    </w:p>
    <w:p>
      <w:pPr>
        <w:pStyle w:val="Heading2"/>
      </w:pPr>
      <w:r>
        <w:rPr>
          <w:rFonts w:ascii="Calibri" w:hAnsi="Calibri"/>
          <w:b/>
          <w:color w:val="3B4259"/>
          <w:sz w:val="28"/>
        </w:rPr>
        <w:t>Mid-America Apartment Communities (MAA) — Q1 2026 Earnings Call (Apr 30, 2026)</w:t>
      </w:r>
    </w:p>
    <w:p>
      <w:r>
        <w:rPr>
          <w:rFonts w:ascii="Calibri" w:hAnsi="Calibri"/>
          <w:b/>
          <w:color w:val="525866"/>
          <w:sz w:val="22"/>
        </w:rPr>
        <w:t xml:space="preserve">Relevance to EQR: </w:t>
      </w:r>
      <w:r>
        <w:rPr>
          <w:rFonts w:ascii="Calibri" w:hAnsi="Calibri"/>
          <w:color w:val="525866"/>
          <w:sz w:val="22"/>
        </w:rPr>
        <w:t>MAA is a pure Sunbelt apartment REIT. Its commentary is most relevant for EQR’s expansion markets (Atlanta, Dallas, Denver, Austin) and provides a read-through on Sunbelt supply absorption and demand dynamics.</w:t>
      </w:r>
    </w:p>
    <w:p>
      <w:pPr>
        <w:pStyle w:val="ListBullet"/>
        <w:ind w:left="360" w:hanging="360"/>
      </w:pPr>
      <w:r>
        <w:rPr>
          <w:rFonts w:ascii="Calibri" w:hAnsi="Calibri"/>
          <w:b/>
          <w:color w:val="525866"/>
          <w:sz w:val="22"/>
        </w:rPr>
        <w:t>Q2 2026 Core FFO guidance of $2.00–$2.12/share (midpoint $2.06); full-year blended lease growth guidance of 1%–1.5%:</w:t>
      </w:r>
      <w:r>
        <w:rPr>
          <w:rFonts w:ascii="Calibri" w:hAnsi="Calibri"/>
          <w:color w:val="525866"/>
          <w:sz w:val="22"/>
        </w:rPr>
        <w:t xml:space="preserve"> MAA expects new lease pricing to continue accelerating through July, with momentum expected to continue “beyond May” (unlike 2025 when it stalled). </w:t>
      </w:r>
      <w:r>
        <w:rPr>
          <w:rFonts w:ascii="Calibri" w:hAnsi="Calibri"/>
          <w:i/>
          <w:color w:val="525866"/>
          <w:sz w:val="22"/>
        </w:rPr>
        <w:t>EQR read-through:</w:t>
      </w:r>
      <w:r>
        <w:rPr>
          <w:rFonts w:ascii="Calibri" w:hAnsi="Calibri"/>
          <w:i/>
          <w:color w:val="525866"/>
          <w:sz w:val="22"/>
        </w:rPr>
        <w:t xml:space="preserve"> Sunbelt-specific but confirms the sector-wide expectation of sequential improvement in new lease change through Q2. The “beyond May” comment is a positive signal for peak season momentum.</w:t>
      </w:r>
    </w:p>
    <w:p>
      <w:pPr>
        <w:pStyle w:val="ListBullet"/>
        <w:ind w:left="360" w:hanging="360"/>
      </w:pPr>
      <w:r>
        <w:rPr>
          <w:rFonts w:ascii="Calibri" w:hAnsi="Calibri"/>
          <w:b/>
          <w:color w:val="525866"/>
          <w:sz w:val="22"/>
        </w:rPr>
        <w:t>April occupancy at 95.5% (in line with April 2025); 60-day exposure 20 bps better YoY:</w:t>
      </w:r>
      <w:r>
        <w:rPr>
          <w:rFonts w:ascii="Calibri" w:hAnsi="Calibri"/>
          <w:color w:val="525866"/>
          <w:sz w:val="22"/>
        </w:rPr>
        <w:t xml:space="preserve"> MAA described demand fundamentals as “resilient across the board” with strong leasing traffic and positive migration trends. Absorption exceeded new supply deliveries in Q1. </w:t>
      </w:r>
      <w:r>
        <w:rPr>
          <w:rFonts w:ascii="Calibri" w:hAnsi="Calibri"/>
          <w:i/>
          <w:color w:val="525866"/>
          <w:sz w:val="22"/>
        </w:rPr>
        <w:t>EQR read-through:</w:t>
      </w:r>
      <w:r>
        <w:rPr>
          <w:rFonts w:ascii="Calibri" w:hAnsi="Calibri"/>
          <w:i/>
          <w:color w:val="525866"/>
          <w:sz w:val="22"/>
        </w:rPr>
        <w:t xml:space="preserve"> Positive macro signal. EQR’s higher occupancy (96.5%) vs. MAA (95.5%) reflects EQR’s coastal market advantage.</w:t>
      </w:r>
    </w:p>
    <w:p>
      <w:pPr>
        <w:pStyle w:val="ListBullet"/>
        <w:ind w:left="360" w:hanging="360"/>
      </w:pPr>
      <w:r>
        <w:rPr>
          <w:rFonts w:ascii="Calibri" w:hAnsi="Calibri"/>
          <w:b/>
          <w:color w:val="525866"/>
          <w:sz w:val="22"/>
        </w:rPr>
        <w:t>Supply pipeline declining sharply: deliveries down 40% from last year in MAA’s region:</w:t>
      </w:r>
      <w:r>
        <w:rPr>
          <w:rFonts w:ascii="Calibri" w:hAnsi="Calibri"/>
          <w:color w:val="525866"/>
          <w:sz w:val="22"/>
        </w:rPr>
        <w:t xml:space="preserve"> MAA noted the supply pipeline is “significantly declining” with the decline “occurring to a larger degree in their region compared to other regions.” Projects starting construction now will deliver in 2028–2029. </w:t>
      </w:r>
      <w:r>
        <w:rPr>
          <w:rFonts w:ascii="Calibri" w:hAnsi="Calibri"/>
          <w:i/>
          <w:color w:val="525866"/>
          <w:sz w:val="22"/>
        </w:rPr>
        <w:t>EQR read-through:</w:t>
      </w:r>
      <w:r>
        <w:rPr>
          <w:rFonts w:ascii="Calibri" w:hAnsi="Calibri"/>
          <w:i/>
          <w:color w:val="525866"/>
          <w:sz w:val="22"/>
        </w:rPr>
        <w:t xml:space="preserve"> Validates the multi-year supply tailwind thesis. EQR’s coastal markets are seeing even sharper supply declines (35% YoY per EQR management).</w:t>
      </w:r>
    </w:p>
    <w:p>
      <w:pPr>
        <w:pStyle w:val="ListBullet"/>
        <w:ind w:left="360" w:hanging="360"/>
      </w:pPr>
      <w:r>
        <w:rPr>
          <w:rFonts w:ascii="Calibri" w:hAnsi="Calibri"/>
          <w:b/>
          <w:color w:val="525866"/>
          <w:sz w:val="22"/>
        </w:rPr>
        <w:t>Atlanta, Dallas, and Orlando expected to outperform portfolio in blended lease pricing:</w:t>
      </w:r>
      <w:r>
        <w:rPr>
          <w:rFonts w:ascii="Calibri" w:hAnsi="Calibri"/>
          <w:color w:val="525866"/>
          <w:sz w:val="22"/>
        </w:rPr>
        <w:t xml:space="preserve"> Richmond, Greenville, D.C. area, and Charleston showing strong pricing power. Austin, Charlotte, and Savannah remain challenged. </w:t>
      </w:r>
      <w:r>
        <w:rPr>
          <w:rFonts w:ascii="Calibri" w:hAnsi="Calibri"/>
          <w:i/>
          <w:color w:val="525866"/>
          <w:sz w:val="22"/>
        </w:rPr>
        <w:t>EQR read-through:</w:t>
      </w:r>
      <w:r>
        <w:rPr>
          <w:rFonts w:ascii="Calibri" w:hAnsi="Calibri"/>
          <w:i/>
          <w:color w:val="525866"/>
          <w:sz w:val="22"/>
        </w:rPr>
        <w:t xml:space="preserve"> Consistent with EQR’s own market-level commentary. Atlanta and Dallas outperformance is a positive read-through for EQR’s expansion market portfolio.</w:t>
      </w:r>
    </w:p>
    <w:p>
      <w:pPr>
        <w:pStyle w:val="ListBullet"/>
        <w:ind w:left="360" w:hanging="360"/>
      </w:pPr>
      <w:r>
        <w:rPr>
          <w:rFonts w:ascii="Calibri" w:hAnsi="Calibri"/>
          <w:b/>
          <w:color w:val="525866"/>
          <w:sz w:val="22"/>
        </w:rPr>
        <w:t>Concessions declining in most markets; urban submarkets outperforming suburban:</w:t>
      </w:r>
      <w:r>
        <w:rPr>
          <w:rFonts w:ascii="Calibri" w:hAnsi="Calibri"/>
          <w:color w:val="525866"/>
          <w:sz w:val="22"/>
        </w:rPr>
        <w:t xml:space="preserve"> Percentage of competitors offering concessions “ticked down slightly in April.” Urban submarkets performing 70 bps better than suburban (a supply story). </w:t>
      </w:r>
      <w:r>
        <w:rPr>
          <w:rFonts w:ascii="Calibri" w:hAnsi="Calibri"/>
          <w:i/>
          <w:color w:val="525866"/>
          <w:sz w:val="22"/>
        </w:rPr>
        <w:t>EQR read-through:</w:t>
      </w:r>
      <w:r>
        <w:rPr>
          <w:rFonts w:ascii="Calibri" w:hAnsi="Calibri"/>
          <w:i/>
          <w:color w:val="525866"/>
          <w:sz w:val="22"/>
        </w:rPr>
        <w:t xml:space="preserve"> Positive signal for EQR’s urban-focused portfolio. Declining concessions across the sector support EQR’s guidance of ~20% full-year concession reduction.</w:t>
      </w:r>
    </w:p>
    <w:p>
      <w:pPr>
        <w:pStyle w:val="Heading2"/>
      </w:pPr>
      <w:r>
        <w:rPr>
          <w:rFonts w:ascii="Calibri" w:hAnsi="Calibri"/>
          <w:b/>
          <w:color w:val="3B4259"/>
          <w:sz w:val="28"/>
        </w:rPr>
        <w:t>Peer Commentary Summary — Key Q2 2026 Read-Throughs for EQR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EQR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San Francisco / AI demand</w:t>
            </w:r>
          </w:p>
        </w:tc>
        <w:tc>
          <w:tcPr>
            <w:tcW w:type="dxa" w:w="2160"/>
          </w:tcPr>
          <w:p>
            <w:r>
              <w:rPr>
                <w:rFonts w:ascii="Calibri" w:hAnsi="Calibri"/>
                <w:sz w:val="22"/>
              </w:rPr>
              <w:t>UDR: ~10% blended rate, 97%+ occ; ESS: best-performing region, above pre-COVID migration</w:t>
            </w:r>
          </w:p>
        </w:tc>
        <w:tc>
          <w:tcPr>
            <w:tcW w:type="dxa" w:w="2160"/>
          </w:tcPr>
          <w:p>
            <w:r>
              <w:rPr>
                <w:rFonts w:ascii="Calibri" w:hAnsi="Calibri"/>
                <w:sz w:val="22"/>
              </w:rPr>
              <w:t>Strong positive for EQR’s largest NOI contributor</w:t>
            </w:r>
          </w:p>
        </w:tc>
        <w:tc>
          <w:tcPr>
            <w:tcW w:type="dxa" w:w="2160"/>
          </w:tcPr>
          <w:p>
            <w:r>
              <w:rPr>
                <w:rFonts w:ascii="Calibri" w:hAnsi="Calibri"/>
                <w:b/>
                <w:color w:val="30A46C"/>
                <w:sz w:val="22"/>
              </w:rPr>
              <w:t>Positive</w:t>
            </w:r>
          </w:p>
        </w:tc>
      </w:tr>
      <w:tr>
        <w:tc>
          <w:tcPr>
            <w:tcW w:type="dxa" w:w="2160"/>
          </w:tcPr>
          <w:p>
            <w:r>
              <w:rPr>
                <w:rFonts w:ascii="Calibri" w:hAnsi="Calibri"/>
                <w:sz w:val="22"/>
              </w:rPr>
              <w:t>New York Metro</w:t>
            </w:r>
          </w:p>
        </w:tc>
        <w:tc>
          <w:tcPr>
            <w:tcW w:type="dxa" w:w="2160"/>
          </w:tcPr>
          <w:p>
            <w:r>
              <w:rPr>
                <w:rFonts w:ascii="Calibri" w:hAnsi="Calibri"/>
                <w:sz w:val="22"/>
              </w:rPr>
              <w:t>UDR: ~7% blended, 98%+ occ; AVB: revenue slightly ahead of budget</w:t>
            </w:r>
          </w:p>
        </w:tc>
        <w:tc>
          <w:tcPr>
            <w:tcW w:type="dxa" w:w="2160"/>
          </w:tcPr>
          <w:p>
            <w:r>
              <w:rPr>
                <w:rFonts w:ascii="Calibri" w:hAnsi="Calibri"/>
                <w:sz w:val="22"/>
              </w:rPr>
              <w:t>Validates EQR’s NY strength; ~14% of portfolio</w:t>
            </w:r>
          </w:p>
        </w:tc>
        <w:tc>
          <w:tcPr>
            <w:tcW w:type="dxa" w:w="2160"/>
          </w:tcPr>
          <w:p>
            <w:r>
              <w:rPr>
                <w:rFonts w:ascii="Calibri" w:hAnsi="Calibri"/>
                <w:b/>
                <w:color w:val="30A46C"/>
                <w:sz w:val="22"/>
              </w:rPr>
              <w:t>Positive</w:t>
            </w:r>
          </w:p>
        </w:tc>
      </w:tr>
      <w:tr>
        <w:tc>
          <w:tcPr>
            <w:tcW w:type="dxa" w:w="2160"/>
          </w:tcPr>
          <w:p>
            <w:r>
              <w:rPr>
                <w:rFonts w:ascii="Calibri" w:hAnsi="Calibri"/>
                <w:sz w:val="22"/>
              </w:rPr>
              <w:t>Renewal pricing (~5%)</w:t>
            </w:r>
          </w:p>
        </w:tc>
        <w:tc>
          <w:tcPr>
            <w:tcW w:type="dxa" w:w="2160"/>
          </w:tcPr>
          <w:p>
            <w:r>
              <w:rPr>
                <w:rFonts w:ascii="Calibri" w:hAnsi="Calibri"/>
                <w:sz w:val="22"/>
              </w:rPr>
              <w:t>AVB: 5%–5.5% offers for May/June; UDR: 5%–5.5% through July; ESS: ~5% renewals</w:t>
            </w:r>
          </w:p>
        </w:tc>
        <w:tc>
          <w:tcPr>
            <w:tcW w:type="dxa" w:w="2160"/>
          </w:tcPr>
          <w:p>
            <w:r>
              <w:rPr>
                <w:rFonts w:ascii="Calibri" w:hAnsi="Calibri"/>
                <w:sz w:val="22"/>
              </w:rPr>
              <w:t>Sector-wide confirmation of EQR’s ~5% renewal guidance</w:t>
            </w:r>
          </w:p>
        </w:tc>
        <w:tc>
          <w:tcPr>
            <w:tcW w:type="dxa" w:w="2160"/>
          </w:tcPr>
          <w:p>
            <w:r>
              <w:rPr>
                <w:rFonts w:ascii="Calibri" w:hAnsi="Calibri"/>
                <w:b/>
                <w:color w:val="30A46C"/>
                <w:sz w:val="22"/>
              </w:rPr>
              <w:t>Positive</w:t>
            </w:r>
          </w:p>
        </w:tc>
      </w:tr>
      <w:tr>
        <w:tc>
          <w:tcPr>
            <w:tcW w:type="dxa" w:w="2160"/>
          </w:tcPr>
          <w:p>
            <w:r>
              <w:rPr>
                <w:rFonts w:ascii="Calibri" w:hAnsi="Calibri"/>
                <w:sz w:val="22"/>
              </w:rPr>
              <w:t>New lease change trajectory</w:t>
            </w:r>
          </w:p>
        </w:tc>
        <w:tc>
          <w:tcPr>
            <w:tcW w:type="dxa" w:w="2160"/>
          </w:tcPr>
          <w:p>
            <w:r>
              <w:rPr>
                <w:rFonts w:ascii="Calibri" w:hAnsi="Calibri"/>
                <w:sz w:val="22"/>
              </w:rPr>
              <w:t>AVB: building toward 0% for year; ESS: -90 bps in April; UDR: coastal at 3.1% blended in April</w:t>
            </w:r>
          </w:p>
        </w:tc>
        <w:tc>
          <w:tcPr>
            <w:tcW w:type="dxa" w:w="2160"/>
          </w:tcPr>
          <w:p>
            <w:r>
              <w:rPr>
                <w:rFonts w:ascii="Calibri" w:hAnsi="Calibri"/>
                <w:sz w:val="22"/>
              </w:rPr>
              <w:t>Sequential improvement confirmed; EQR’s Q2 consensus of 3.0% blended is achievable</w:t>
            </w:r>
          </w:p>
        </w:tc>
        <w:tc>
          <w:tcPr>
            <w:tcW w:type="dxa" w:w="2160"/>
          </w:tcPr>
          <w:p>
            <w:r>
              <w:rPr>
                <w:rFonts w:ascii="Calibri" w:hAnsi="Calibri"/>
                <w:b/>
                <w:color w:val="30A46C"/>
                <w:sz w:val="22"/>
              </w:rPr>
              <w:t>Neutral/Positive</w:t>
            </w:r>
          </w:p>
        </w:tc>
      </w:tr>
      <w:tr>
        <w:tc>
          <w:tcPr>
            <w:tcW w:type="dxa" w:w="2160"/>
          </w:tcPr>
          <w:p>
            <w:r>
              <w:rPr>
                <w:rFonts w:ascii="Calibri" w:hAnsi="Calibri"/>
                <w:sz w:val="22"/>
              </w:rPr>
              <w:t>Los Angeles</w:t>
            </w:r>
          </w:p>
        </w:tc>
        <w:tc>
          <w:tcPr>
            <w:tcW w:type="dxa" w:w="2160"/>
          </w:tcPr>
          <w:p>
            <w:r>
              <w:rPr>
                <w:rFonts w:ascii="Calibri" w:hAnsi="Calibri"/>
                <w:sz w:val="22"/>
              </w:rPr>
              <w:t>ESS: “progressing at glacial pace”; AVB: “no near-term catalyst”; UDR: challenging</w:t>
            </w:r>
          </w:p>
        </w:tc>
        <w:tc>
          <w:tcPr>
            <w:tcW w:type="dxa" w:w="2160"/>
          </w:tcPr>
          <w:p>
            <w:r>
              <w:rPr>
                <w:rFonts w:ascii="Calibri" w:hAnsi="Calibri"/>
                <w:sz w:val="22"/>
              </w:rPr>
              <w:t>Confirms EQR’s cautious L.A. stance; no upside surprise expected</w:t>
            </w:r>
          </w:p>
        </w:tc>
        <w:tc>
          <w:tcPr>
            <w:tcW w:type="dxa" w:w="2160"/>
          </w:tcPr>
          <w:p>
            <w:r>
              <w:rPr>
                <w:rFonts w:ascii="Calibri" w:hAnsi="Calibri"/>
                <w:b/>
                <w:color w:val="E5484D"/>
                <w:sz w:val="22"/>
              </w:rPr>
              <w:t>Neutral/Negative</w:t>
            </w:r>
          </w:p>
        </w:tc>
      </w:tr>
      <w:tr>
        <w:tc>
          <w:tcPr>
            <w:tcW w:type="dxa" w:w="2160"/>
          </w:tcPr>
          <w:p>
            <w:r>
              <w:rPr>
                <w:rFonts w:ascii="Calibri" w:hAnsi="Calibri"/>
                <w:sz w:val="22"/>
              </w:rPr>
              <w:t>Boston / Seattle</w:t>
            </w:r>
          </w:p>
        </w:tc>
        <w:tc>
          <w:tcPr>
            <w:tcW w:type="dxa" w:w="2160"/>
          </w:tcPr>
          <w:p>
            <w:r>
              <w:rPr>
                <w:rFonts w:ascii="Calibri" w:hAnsi="Calibri"/>
                <w:sz w:val="22"/>
              </w:rPr>
              <w:t>AVB: “basically no job growth”; ESS: Seattle lease rates flipped positive in March</w:t>
            </w:r>
          </w:p>
        </w:tc>
        <w:tc>
          <w:tcPr>
            <w:tcW w:type="dxa" w:w="2160"/>
          </w:tcPr>
          <w:p>
            <w:r>
              <w:rPr>
                <w:rFonts w:ascii="Calibri" w:hAnsi="Calibri"/>
                <w:sz w:val="22"/>
              </w:rPr>
              <w:t>Mixed; Seattle showing early recovery signs (Bellevue/Redmond), Boston still lagging</w:t>
            </w:r>
          </w:p>
        </w:tc>
        <w:tc>
          <w:tcPr>
            <w:tcW w:type="dxa" w:w="2160"/>
          </w:tcPr>
          <w:p>
            <w:r>
              <w:rPr>
                <w:rFonts w:ascii="Calibri" w:hAnsi="Calibri"/>
                <w:b/>
                <w:color w:val="002FA7"/>
                <w:sz w:val="22"/>
              </w:rPr>
              <w:t>Mixed</w:t>
            </w:r>
          </w:p>
        </w:tc>
      </w:tr>
      <w:tr>
        <w:tc>
          <w:tcPr>
            <w:tcW w:type="dxa" w:w="2160"/>
          </w:tcPr>
          <w:p>
            <w:r>
              <w:rPr>
                <w:rFonts w:ascii="Calibri" w:hAnsi="Calibri"/>
                <w:sz w:val="22"/>
              </w:rPr>
              <w:t>Supply decline (sector-wide)</w:t>
            </w:r>
          </w:p>
        </w:tc>
        <w:tc>
          <w:tcPr>
            <w:tcW w:type="dxa" w:w="2160"/>
          </w:tcPr>
          <w:p>
            <w:r>
              <w:rPr>
                <w:rFonts w:ascii="Calibri" w:hAnsi="Calibri"/>
                <w:sz w:val="22"/>
              </w:rPr>
              <w:t>CPT: deliveries cut in half; MAA: down 40% YoY; ESS: CA permitting at historical lows</w:t>
            </w:r>
          </w:p>
        </w:tc>
        <w:tc>
          <w:tcPr>
            <w:tcW w:type="dxa" w:w="2160"/>
          </w:tcPr>
          <w:p>
            <w:r>
              <w:rPr>
                <w:rFonts w:ascii="Calibri" w:hAnsi="Calibri"/>
                <w:sz w:val="22"/>
              </w:rPr>
              <w:t>Multi-year tailwind confirmed; H2 2026 and 2027 setup increasingly favorable</w:t>
            </w:r>
          </w:p>
        </w:tc>
        <w:tc>
          <w:tcPr>
            <w:tcW w:type="dxa" w:w="2160"/>
          </w:tcPr>
          <w:p>
            <w:r>
              <w:rPr>
                <w:rFonts w:ascii="Calibri" w:hAnsi="Calibri"/>
                <w:b/>
                <w:color w:val="30A46C"/>
                <w:sz w:val="22"/>
              </w:rPr>
              <w:t>Positive</w:t>
            </w:r>
          </w:p>
        </w:tc>
      </w:tr>
      <w:tr>
        <w:tc>
          <w:tcPr>
            <w:tcW w:type="dxa" w:w="2160"/>
          </w:tcPr>
          <w:p>
            <w:r>
              <w:rPr>
                <w:rFonts w:ascii="Calibri" w:hAnsi="Calibri"/>
                <w:sz w:val="22"/>
              </w:rPr>
              <w:t>Atlanta / Dallas (expansion markets)</w:t>
            </w:r>
          </w:p>
        </w:tc>
        <w:tc>
          <w:tcPr>
            <w:tcW w:type="dxa" w:w="2160"/>
          </w:tcPr>
          <w:p>
            <w:r>
              <w:rPr>
                <w:rFonts w:ascii="Calibri" w:hAnsi="Calibri"/>
                <w:sz w:val="22"/>
              </w:rPr>
              <w:t>CPT: “green shoots”; MAA: expected to outperform portfolio; concessions declining</w:t>
            </w:r>
          </w:p>
        </w:tc>
        <w:tc>
          <w:tcPr>
            <w:tcW w:type="dxa" w:w="2160"/>
          </w:tcPr>
          <w:p>
            <w:r>
              <w:rPr>
                <w:rFonts w:ascii="Calibri" w:hAnsi="Calibri"/>
                <w:sz w:val="22"/>
              </w:rPr>
              <w:t>Positive for EQR’s Atlanta/Dallas portfolios; recovery on track</w:t>
            </w:r>
          </w:p>
        </w:tc>
        <w:tc>
          <w:tcPr>
            <w:tcW w:type="dxa" w:w="2160"/>
          </w:tcPr>
          <w:p>
            <w:r>
              <w:rPr>
                <w:rFonts w:ascii="Calibri" w:hAnsi="Calibri"/>
                <w:b/>
                <w:color w:val="30A46C"/>
                <w:sz w:val="22"/>
              </w:rPr>
              <w:t>Positive</w:t>
            </w:r>
          </w:p>
        </w:tc>
      </w:tr>
      <w:tr>
        <w:tc>
          <w:tcPr>
            <w:tcW w:type="dxa" w:w="2160"/>
          </w:tcPr>
          <w:p>
            <w:r>
              <w:rPr>
                <w:rFonts w:ascii="Calibri" w:hAnsi="Calibri"/>
                <w:sz w:val="22"/>
              </w:rPr>
              <w:t>Guidance posture (sector-wide)</w:t>
            </w:r>
          </w:p>
        </w:tc>
        <w:tc>
          <w:tcPr>
            <w:tcW w:type="dxa" w:w="2160"/>
          </w:tcPr>
          <w:p>
            <w:r>
              <w:rPr>
                <w:rFonts w:ascii="Calibri" w:hAnsi="Calibri"/>
                <w:sz w:val="22"/>
              </w:rPr>
              <w:t>AVB, ESS, UDR, MAA all reaffirmed full-year guidance at Q1; waiting for peak-season data</w:t>
            </w:r>
          </w:p>
        </w:tc>
        <w:tc>
          <w:tcPr>
            <w:tcW w:type="dxa" w:w="2160"/>
          </w:tcPr>
          <w:p>
            <w:r>
              <w:rPr>
                <w:rFonts w:ascii="Calibri" w:hAnsi="Calibri"/>
                <w:sz w:val="22"/>
              </w:rPr>
              <w:t>Q2 prints likely to be the catalyst for sector-wide guidance raises if leasing season delivers</w:t>
            </w:r>
          </w:p>
        </w:tc>
        <w:tc>
          <w:tcPr>
            <w:tcW w:type="dxa" w:w="2160"/>
          </w:tcPr>
          <w:p>
            <w:r>
              <w:rPr>
                <w:rFonts w:ascii="Calibri" w:hAnsi="Calibri"/>
                <w:b/>
                <w:color w:val="30A46C"/>
                <w:sz w:val="22"/>
              </w:rPr>
              <w:t>Positive</w:t>
            </w:r>
          </w:p>
        </w:tc>
      </w:tr>
      <w:tr>
        <w:tc>
          <w:tcPr>
            <w:tcW w:type="dxa" w:w="2160"/>
          </w:tcPr>
          <w:p>
            <w:r>
              <w:rPr>
                <w:rFonts w:ascii="Calibri" w:hAnsi="Calibri"/>
                <w:sz w:val="22"/>
              </w:rPr>
              <w:t>MA rent control ballot measure</w:t>
            </w:r>
          </w:p>
        </w:tc>
        <w:tc>
          <w:tcPr>
            <w:tcW w:type="dxa" w:w="2160"/>
          </w:tcPr>
          <w:p>
            <w:r>
              <w:rPr>
                <w:rFonts w:ascii="Calibri" w:hAnsi="Calibri"/>
                <w:sz w:val="22"/>
              </w:rPr>
              <w:t>UDR: contributing ~$0.5M to oppose; industry mobilized</w:t>
            </w:r>
          </w:p>
        </w:tc>
        <w:tc>
          <w:tcPr>
            <w:tcW w:type="dxa" w:w="2160"/>
          </w:tcPr>
          <w:p>
            <w:r>
              <w:rPr>
                <w:rFonts w:ascii="Calibri" w:hAnsi="Calibri"/>
                <w:sz w:val="22"/>
              </w:rPr>
              <w:t>Confirms EQR’s risk; industry opposition organized but outcome uncertain</w:t>
            </w:r>
          </w:p>
        </w:tc>
        <w:tc>
          <w:tcPr>
            <w:tcW w:type="dxa" w:w="2160"/>
          </w:tcPr>
          <w:p>
            <w:r>
              <w:rPr>
                <w:rFonts w:ascii="Calibri" w:hAnsi="Calibri"/>
                <w:b/>
                <w:color w:val="002FA7"/>
                <w:sz w:val="22"/>
              </w:rPr>
              <w:t>Watch</w:t>
            </w:r>
          </w:p>
        </w:tc>
      </w:tr>
    </w:tbl>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by executives or directors since the Q1 2026 print. All transactions in the window are routine equity compensation grants (Form 4 code “A” — Acquisitions via award/grant) to directors at the June 18, 2026 annual meeting, plus a small compensation-related acquisition by the Chief Accounting Officer. </w:t>
      </w:r>
      <w:r>
        <w:rPr>
          <w:rFonts w:ascii="Calibri" w:hAnsi="Calibri"/>
          <w:b/>
          <w:color w:val="525866"/>
          <w:sz w:val="22"/>
        </w:rPr>
        <w:t>No discretionary insider buying or selling signals to flag.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Angela M. Aman</w:t>
            </w:r>
          </w:p>
        </w:tc>
        <w:tc>
          <w:tcPr>
            <w:tcW w:type="dxa" w:w="1440"/>
          </w:tcPr>
          <w:p>
            <w:r>
              <w:rPr>
                <w:rFonts w:ascii="Calibri" w:hAnsi="Calibri"/>
                <w:sz w:val="22"/>
              </w:rPr>
              <w:t>Director</w:t>
            </w:r>
          </w:p>
        </w:tc>
        <w:tc>
          <w:tcPr>
            <w:tcW w:type="dxa" w:w="1440"/>
          </w:tcPr>
          <w:p>
            <w:r>
              <w:rPr>
                <w:rFonts w:ascii="Calibri" w:hAnsi="Calibri"/>
                <w:sz w:val="22"/>
              </w:rPr>
              <w:t>Equity Award Grant (Restricted Units)</w:t>
            </w:r>
          </w:p>
        </w:tc>
        <w:tc>
          <w:tcPr>
            <w:tcW w:type="dxa" w:w="1440"/>
          </w:tcPr>
          <w:p>
            <w:r>
              <w:rPr>
                <w:rFonts w:ascii="Calibri" w:hAnsi="Calibri"/>
                <w:sz w:val="22"/>
              </w:rPr>
              <w:t>3,561</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10b5-1 plan</w:t>
            </w:r>
          </w:p>
        </w:tc>
      </w:tr>
      <w:tr>
        <w:tc>
          <w:tcPr>
            <w:tcW w:type="dxa" w:w="1440"/>
          </w:tcPr>
          <w:p>
            <w:r>
              <w:rPr>
                <w:rFonts w:ascii="Calibri" w:hAnsi="Calibri"/>
                <w:sz w:val="22"/>
              </w:rPr>
              <w:t>Chris Carr</w:t>
            </w:r>
          </w:p>
        </w:tc>
        <w:tc>
          <w:tcPr>
            <w:tcW w:type="dxa" w:w="1440"/>
          </w:tcPr>
          <w:p>
            <w:r>
              <w:rPr>
                <w:rFonts w:ascii="Calibri" w:hAnsi="Calibri"/>
                <w:sz w:val="22"/>
              </w:rPr>
              <w:t>Director</w:t>
            </w:r>
          </w:p>
        </w:tc>
        <w:tc>
          <w:tcPr>
            <w:tcW w:type="dxa" w:w="1440"/>
          </w:tcPr>
          <w:p>
            <w:r>
              <w:rPr>
                <w:rFonts w:ascii="Calibri" w:hAnsi="Calibri"/>
                <w:sz w:val="22"/>
              </w:rPr>
              <w:t>Equity Award Grant (Restricted Units)</w:t>
            </w:r>
          </w:p>
        </w:tc>
        <w:tc>
          <w:tcPr>
            <w:tcW w:type="dxa" w:w="1440"/>
          </w:tcPr>
          <w:p>
            <w:r>
              <w:rPr>
                <w:rFonts w:ascii="Calibri" w:hAnsi="Calibri"/>
                <w:sz w:val="22"/>
              </w:rPr>
              <w:t>3,561</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10b5-1 plan</w:t>
            </w:r>
          </w:p>
        </w:tc>
      </w:tr>
      <w:tr>
        <w:tc>
          <w:tcPr>
            <w:tcW w:type="dxa" w:w="1440"/>
          </w:tcPr>
          <w:p>
            <w:r>
              <w:rPr>
                <w:rFonts w:ascii="Calibri" w:hAnsi="Calibri"/>
                <w:sz w:val="22"/>
              </w:rPr>
              <w:t>Mary Kay Haben</w:t>
            </w:r>
          </w:p>
        </w:tc>
        <w:tc>
          <w:tcPr>
            <w:tcW w:type="dxa" w:w="1440"/>
          </w:tcPr>
          <w:p>
            <w:r>
              <w:rPr>
                <w:rFonts w:ascii="Calibri" w:hAnsi="Calibri"/>
                <w:sz w:val="22"/>
              </w:rPr>
              <w:t>Director</w:t>
            </w:r>
          </w:p>
        </w:tc>
        <w:tc>
          <w:tcPr>
            <w:tcW w:type="dxa" w:w="1440"/>
          </w:tcPr>
          <w:p>
            <w:r>
              <w:rPr>
                <w:rFonts w:ascii="Calibri" w:hAnsi="Calibri"/>
                <w:sz w:val="22"/>
              </w:rPr>
              <w:t>Equity Award Grant (Common Shares)</w:t>
            </w:r>
          </w:p>
        </w:tc>
        <w:tc>
          <w:tcPr>
            <w:tcW w:type="dxa" w:w="1440"/>
          </w:tcPr>
          <w:p>
            <w:r>
              <w:rPr>
                <w:rFonts w:ascii="Calibri" w:hAnsi="Calibri"/>
                <w:sz w:val="22"/>
              </w:rPr>
              <w:t>3,276</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not under 10b5-1 plan</w:t>
            </w:r>
          </w:p>
        </w:tc>
      </w:tr>
      <w:tr>
        <w:tc>
          <w:tcPr>
            <w:tcW w:type="dxa" w:w="1440"/>
          </w:tcPr>
          <w:p>
            <w:r>
              <w:rPr>
                <w:rFonts w:ascii="Calibri" w:hAnsi="Calibri"/>
                <w:sz w:val="22"/>
              </w:rPr>
              <w:t>Ann Hoff</w:t>
            </w:r>
          </w:p>
        </w:tc>
        <w:tc>
          <w:tcPr>
            <w:tcW w:type="dxa" w:w="1440"/>
          </w:tcPr>
          <w:p>
            <w:r>
              <w:rPr>
                <w:rFonts w:ascii="Calibri" w:hAnsi="Calibri"/>
                <w:sz w:val="22"/>
              </w:rPr>
              <w:t>Director</w:t>
            </w:r>
          </w:p>
        </w:tc>
        <w:tc>
          <w:tcPr>
            <w:tcW w:type="dxa" w:w="1440"/>
          </w:tcPr>
          <w:p>
            <w:r>
              <w:rPr>
                <w:rFonts w:ascii="Calibri" w:hAnsi="Calibri"/>
                <w:sz w:val="22"/>
              </w:rPr>
              <w:t>Equity Award Grant (Common Shares)</w:t>
            </w:r>
          </w:p>
        </w:tc>
        <w:tc>
          <w:tcPr>
            <w:tcW w:type="dxa" w:w="1440"/>
          </w:tcPr>
          <w:p>
            <w:r>
              <w:rPr>
                <w:rFonts w:ascii="Calibri" w:hAnsi="Calibri"/>
                <w:sz w:val="22"/>
              </w:rPr>
              <w:t>3,276</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not under 10b5-1 plan</w:t>
            </w:r>
          </w:p>
        </w:tc>
      </w:tr>
      <w:tr>
        <w:tc>
          <w:tcPr>
            <w:tcW w:type="dxa" w:w="1440"/>
          </w:tcPr>
          <w:p>
            <w:r>
              <w:rPr>
                <w:rFonts w:ascii="Calibri" w:hAnsi="Calibri"/>
                <w:sz w:val="22"/>
              </w:rPr>
              <w:t>Tahsinul Zia Huque</w:t>
            </w:r>
          </w:p>
        </w:tc>
        <w:tc>
          <w:tcPr>
            <w:tcW w:type="dxa" w:w="1440"/>
          </w:tcPr>
          <w:p>
            <w:r>
              <w:rPr>
                <w:rFonts w:ascii="Calibri" w:hAnsi="Calibri"/>
                <w:sz w:val="22"/>
              </w:rPr>
              <w:t>Director</w:t>
            </w:r>
          </w:p>
        </w:tc>
        <w:tc>
          <w:tcPr>
            <w:tcW w:type="dxa" w:w="1440"/>
          </w:tcPr>
          <w:p>
            <w:r>
              <w:rPr>
                <w:rFonts w:ascii="Calibri" w:hAnsi="Calibri"/>
                <w:sz w:val="22"/>
              </w:rPr>
              <w:t>Equity Award Grant (Restricted Units)</w:t>
            </w:r>
          </w:p>
        </w:tc>
        <w:tc>
          <w:tcPr>
            <w:tcW w:type="dxa" w:w="1440"/>
          </w:tcPr>
          <w:p>
            <w:r>
              <w:rPr>
                <w:rFonts w:ascii="Calibri" w:hAnsi="Calibri"/>
                <w:sz w:val="22"/>
              </w:rPr>
              <w:t>3,561</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10b5-1 plan</w:t>
            </w:r>
          </w:p>
        </w:tc>
      </w:tr>
      <w:tr>
        <w:tc>
          <w:tcPr>
            <w:tcW w:type="dxa" w:w="1440"/>
          </w:tcPr>
          <w:p>
            <w:r>
              <w:rPr>
                <w:rFonts w:ascii="Calibri" w:hAnsi="Calibri"/>
                <w:sz w:val="22"/>
              </w:rPr>
              <w:t>Nina P. Jones</w:t>
            </w:r>
          </w:p>
        </w:tc>
        <w:tc>
          <w:tcPr>
            <w:tcW w:type="dxa" w:w="1440"/>
          </w:tcPr>
          <w:p>
            <w:r>
              <w:rPr>
                <w:rFonts w:ascii="Calibri" w:hAnsi="Calibri"/>
                <w:sz w:val="22"/>
              </w:rPr>
              <w:t>Director</w:t>
            </w:r>
          </w:p>
        </w:tc>
        <w:tc>
          <w:tcPr>
            <w:tcW w:type="dxa" w:w="1440"/>
          </w:tcPr>
          <w:p>
            <w:r>
              <w:rPr>
                <w:rFonts w:ascii="Calibri" w:hAnsi="Calibri"/>
                <w:sz w:val="22"/>
              </w:rPr>
              <w:t>Equity Award Grant (Common Shares)</w:t>
            </w:r>
          </w:p>
        </w:tc>
        <w:tc>
          <w:tcPr>
            <w:tcW w:type="dxa" w:w="1440"/>
          </w:tcPr>
          <w:p>
            <w:r>
              <w:rPr>
                <w:rFonts w:ascii="Calibri" w:hAnsi="Calibri"/>
                <w:sz w:val="22"/>
              </w:rPr>
              <w:t>3,276</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not under 10b5-1 plan</w:t>
            </w:r>
          </w:p>
        </w:tc>
      </w:tr>
      <w:tr>
        <w:tc>
          <w:tcPr>
            <w:tcW w:type="dxa" w:w="1440"/>
          </w:tcPr>
          <w:p>
            <w:r>
              <w:rPr>
                <w:rFonts w:ascii="Calibri" w:hAnsi="Calibri"/>
                <w:sz w:val="22"/>
              </w:rPr>
              <w:t>David J. Neithercut</w:t>
            </w:r>
          </w:p>
        </w:tc>
        <w:tc>
          <w:tcPr>
            <w:tcW w:type="dxa" w:w="1440"/>
          </w:tcPr>
          <w:p>
            <w:r>
              <w:rPr>
                <w:rFonts w:ascii="Calibri" w:hAnsi="Calibri"/>
                <w:sz w:val="22"/>
              </w:rPr>
              <w:t>Chairman of the Board, Director</w:t>
            </w:r>
          </w:p>
        </w:tc>
        <w:tc>
          <w:tcPr>
            <w:tcW w:type="dxa" w:w="1440"/>
          </w:tcPr>
          <w:p>
            <w:r>
              <w:rPr>
                <w:rFonts w:ascii="Calibri" w:hAnsi="Calibri"/>
                <w:sz w:val="22"/>
              </w:rPr>
              <w:t>Equity Award Grant (Stock Options)</w:t>
            </w:r>
          </w:p>
        </w:tc>
        <w:tc>
          <w:tcPr>
            <w:tcW w:type="dxa" w:w="1440"/>
          </w:tcPr>
          <w:p>
            <w:r>
              <w:rPr>
                <w:rFonts w:ascii="Calibri" w:hAnsi="Calibri"/>
                <w:sz w:val="22"/>
              </w:rPr>
              <w:t>50,997</w:t>
            </w:r>
          </w:p>
        </w:tc>
        <w:tc>
          <w:tcPr>
            <w:tcW w:type="dxa" w:w="1440"/>
          </w:tcPr>
          <w:p>
            <w:r>
              <w:rPr>
                <w:rFonts w:ascii="Calibri" w:hAnsi="Calibri"/>
                <w:sz w:val="22"/>
              </w:rPr>
              <w:t>Jun 18, 2026</w:t>
            </w:r>
          </w:p>
        </w:tc>
        <w:tc>
          <w:tcPr>
            <w:tcW w:type="dxa" w:w="1440"/>
          </w:tcPr>
          <w:p>
            <w:r>
              <w:rPr>
                <w:rFonts w:ascii="Calibri" w:hAnsi="Calibri"/>
                <w:sz w:val="22"/>
              </w:rPr>
              <w:t>Non-qualified stock option grant; routine annual director compensation; not under 10b5-1 plan</w:t>
            </w:r>
          </w:p>
        </w:tc>
      </w:tr>
      <w:tr>
        <w:tc>
          <w:tcPr>
            <w:tcW w:type="dxa" w:w="1440"/>
          </w:tcPr>
          <w:p>
            <w:r>
              <w:rPr>
                <w:rFonts w:ascii="Calibri" w:hAnsi="Calibri"/>
                <w:sz w:val="22"/>
              </w:rPr>
              <w:t>Mark S. Shapiro</w:t>
            </w:r>
          </w:p>
        </w:tc>
        <w:tc>
          <w:tcPr>
            <w:tcW w:type="dxa" w:w="1440"/>
          </w:tcPr>
          <w:p>
            <w:r>
              <w:rPr>
                <w:rFonts w:ascii="Calibri" w:hAnsi="Calibri"/>
                <w:sz w:val="22"/>
              </w:rPr>
              <w:t>Director</w:t>
            </w:r>
          </w:p>
        </w:tc>
        <w:tc>
          <w:tcPr>
            <w:tcW w:type="dxa" w:w="1440"/>
          </w:tcPr>
          <w:p>
            <w:r>
              <w:rPr>
                <w:rFonts w:ascii="Calibri" w:hAnsi="Calibri"/>
                <w:sz w:val="22"/>
              </w:rPr>
              <w:t>Equity Award Grant (Restricted Units)</w:t>
            </w:r>
          </w:p>
        </w:tc>
        <w:tc>
          <w:tcPr>
            <w:tcW w:type="dxa" w:w="1440"/>
          </w:tcPr>
          <w:p>
            <w:r>
              <w:rPr>
                <w:rFonts w:ascii="Calibri" w:hAnsi="Calibri"/>
                <w:sz w:val="22"/>
              </w:rPr>
              <w:t>3,561</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10b5-1 plan</w:t>
            </w:r>
          </w:p>
        </w:tc>
      </w:tr>
      <w:tr>
        <w:tc>
          <w:tcPr>
            <w:tcW w:type="dxa" w:w="1440"/>
          </w:tcPr>
          <w:p>
            <w:r>
              <w:rPr>
                <w:rFonts w:ascii="Calibri" w:hAnsi="Calibri"/>
                <w:sz w:val="22"/>
              </w:rPr>
              <w:t>Stephen E. Sterrett</w:t>
            </w:r>
          </w:p>
        </w:tc>
        <w:tc>
          <w:tcPr>
            <w:tcW w:type="dxa" w:w="1440"/>
          </w:tcPr>
          <w:p>
            <w:r>
              <w:rPr>
                <w:rFonts w:ascii="Calibri" w:hAnsi="Calibri"/>
                <w:sz w:val="22"/>
              </w:rPr>
              <w:t>Director</w:t>
            </w:r>
          </w:p>
        </w:tc>
        <w:tc>
          <w:tcPr>
            <w:tcW w:type="dxa" w:w="1440"/>
          </w:tcPr>
          <w:p>
            <w:r>
              <w:rPr>
                <w:rFonts w:ascii="Calibri" w:hAnsi="Calibri"/>
                <w:sz w:val="22"/>
              </w:rPr>
              <w:t>Equity Award Grant (Common Shares)</w:t>
            </w:r>
          </w:p>
        </w:tc>
        <w:tc>
          <w:tcPr>
            <w:tcW w:type="dxa" w:w="1440"/>
          </w:tcPr>
          <w:p>
            <w:r>
              <w:rPr>
                <w:rFonts w:ascii="Calibri" w:hAnsi="Calibri"/>
                <w:sz w:val="22"/>
              </w:rPr>
              <w:t>3,276</w:t>
            </w:r>
          </w:p>
        </w:tc>
        <w:tc>
          <w:tcPr>
            <w:tcW w:type="dxa" w:w="1440"/>
          </w:tcPr>
          <w:p>
            <w:r>
              <w:rPr>
                <w:rFonts w:ascii="Calibri" w:hAnsi="Calibri"/>
                <w:sz w:val="22"/>
              </w:rPr>
              <w:t>Jun 18, 2026</w:t>
            </w:r>
          </w:p>
        </w:tc>
        <w:tc>
          <w:tcPr>
            <w:tcW w:type="dxa" w:w="1440"/>
          </w:tcPr>
          <w:p>
            <w:r>
              <w:rPr>
                <w:rFonts w:ascii="Calibri" w:hAnsi="Calibri"/>
                <w:sz w:val="22"/>
              </w:rPr>
              <w:t>Routine annual director compensation grant; not under 10b5-1 plan</w:t>
            </w:r>
          </w:p>
        </w:tc>
      </w:tr>
      <w:tr>
        <w:tc>
          <w:tcPr>
            <w:tcW w:type="dxa" w:w="1440"/>
          </w:tcPr>
          <w:p>
            <w:r>
              <w:rPr>
                <w:rFonts w:ascii="Calibri" w:hAnsi="Calibri"/>
                <w:sz w:val="22"/>
              </w:rPr>
              <w:t>Ian Kaufman</w:t>
            </w:r>
          </w:p>
        </w:tc>
        <w:tc>
          <w:tcPr>
            <w:tcW w:type="dxa" w:w="1440"/>
          </w:tcPr>
          <w:p>
            <w:r>
              <w:rPr>
                <w:rFonts w:ascii="Calibri" w:hAnsi="Calibri"/>
                <w:sz w:val="22"/>
              </w:rPr>
              <w:t>Chief Accounting Officer</w:t>
            </w:r>
          </w:p>
        </w:tc>
        <w:tc>
          <w:tcPr>
            <w:tcW w:type="dxa" w:w="1440"/>
          </w:tcPr>
          <w:p>
            <w:r>
              <w:rPr>
                <w:rFonts w:ascii="Calibri" w:hAnsi="Calibri"/>
                <w:sz w:val="22"/>
              </w:rPr>
              <w:t>Equity Award Grant (Common Shares)</w:t>
            </w:r>
          </w:p>
        </w:tc>
        <w:tc>
          <w:tcPr>
            <w:tcW w:type="dxa" w:w="1440"/>
          </w:tcPr>
          <w:p>
            <w:r>
              <w:rPr>
                <w:rFonts w:ascii="Calibri" w:hAnsi="Calibri"/>
                <w:sz w:val="22"/>
              </w:rPr>
              <w:t>32</w:t>
            </w:r>
          </w:p>
        </w:tc>
        <w:tc>
          <w:tcPr>
            <w:tcW w:type="dxa" w:w="1440"/>
          </w:tcPr>
          <w:p>
            <w:r>
              <w:rPr>
                <w:rFonts w:ascii="Calibri" w:hAnsi="Calibri"/>
                <w:sz w:val="22"/>
              </w:rPr>
              <w:t>May 14, 2026</w:t>
            </w:r>
          </w:p>
        </w:tc>
        <w:tc>
          <w:tcPr>
            <w:tcW w:type="dxa" w:w="1440"/>
          </w:tcPr>
          <w:p>
            <w:r>
              <w:rPr>
                <w:rFonts w:ascii="Calibri" w:hAnsi="Calibri"/>
                <w:sz w:val="22"/>
              </w:rPr>
              <w:t>Small compensation-related acquisition; not under 10b5-1 plan</w:t>
            </w:r>
          </w:p>
        </w:tc>
      </w:tr>
    </w:tbl>
    <w:p>
      <w:r>
        <w:rPr>
          <w:rFonts w:ascii="Calibri" w:hAnsi="Calibri"/>
          <w:i/>
          <w:color w:val="525866"/>
          <w:sz w:val="22"/>
        </w:rPr>
        <w:t>Source: SEC Form 4 Filings / Insider Transaction Data. All transactions shown are Form 4 code “A” (Acquisition via award/grant) — none are open-market purchases (code “P”) or open-market sales (code “S”). The absence of discretionary open-market buying or selling by executives is notable but not unusual for a REIT in a quiet period ahead of earnings. No 10b5-1 plan initiations or terminations were filed in the window.</w:t>
      </w:r>
    </w:p>
    <w:p>
      <w:r>
        <w:br w:type="page"/>
      </w:r>
    </w:p>
    <w:p>
      <w:pPr>
        <w:pStyle w:val="Heading1"/>
        <w:pBdr>
          <w:bottom w:val="single" w:sz="4" w:space="1" w:color="FB9120"/>
        </w:pBdr>
      </w:pPr>
      <w:r>
        <w:rPr>
          <w:rFonts w:ascii="Calibri" w:hAnsi="Calibri"/>
          <w:b/>
          <w:color w:val="3B4259"/>
          <w:sz w:val="40"/>
        </w:rPr>
        <w:t>Appendix: Data Sources &amp; Disclaimers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All KPI consensus estimates and historical actuals sourced from Visible Alpha. Consensus as of July 21, 2026 unless otherwise noted. Post-Q1 baseline as of May 5, 2026 (5 trading days after April 28, 2026 earnings release).</w:t>
      </w:r>
    </w:p>
    <w:p>
      <w:pPr>
        <w:pStyle w:val="ListBullet"/>
        <w:ind w:left="360" w:hanging="360"/>
      </w:pPr>
      <w:r>
        <w:rPr>
          <w:rFonts w:ascii="Calibri" w:hAnsi="Calibri"/>
          <w:b/>
          <w:color w:val="525866"/>
          <w:sz w:val="22"/>
        </w:rPr>
        <w:t>Stock Price Data:</w:t>
      </w:r>
      <w:r>
        <w:rPr>
          <w:rFonts w:ascii="Calibri" w:hAnsi="Calibri"/>
          <w:color w:val="525866"/>
          <w:sz w:val="22"/>
        </w:rPr>
        <w:t xml:space="preserve"> Yahoo Finance. Prices as of July 21, 2026 close. REZ (iShares Residential and Multisector Real Estate ETF) used as the residential REIT sector benchmark.</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Database. Window covers April 28, 2026 through July 21, 2026.</w:t>
      </w:r>
    </w:p>
    <w:p>
      <w:pPr>
        <w:pStyle w:val="ListBullet"/>
        <w:ind w:left="360" w:hanging="360"/>
      </w:pPr>
      <w:r>
        <w:rPr>
          <w:rFonts w:ascii="Calibri" w:hAnsi="Calibri"/>
          <w:b/>
          <w:color w:val="525866"/>
          <w:sz w:val="22"/>
        </w:rPr>
        <w:t>EQR Q1 2026 Earnings Call Transcript:</w:t>
      </w:r>
      <w:r>
        <w:rPr>
          <w:rFonts w:ascii="Calibri" w:hAnsi="Calibri"/>
          <w:color w:val="525866"/>
          <w:sz w:val="22"/>
        </w:rPr>
        <w:t xml:space="preserve"> April 29, 2026. All management quotes and guidance figures sourced from this transcript.</w:t>
      </w:r>
    </w:p>
    <w:p>
      <w:pPr>
        <w:pStyle w:val="ListBullet"/>
        <w:ind w:left="360" w:hanging="360"/>
      </w:pPr>
      <w:r>
        <w:rPr>
          <w:rFonts w:ascii="Calibri" w:hAnsi="Calibri"/>
          <w:b/>
          <w:color w:val="525866"/>
          <w:sz w:val="22"/>
        </w:rPr>
        <w:t>Peer Earnings Call Transcripts:</w:t>
      </w:r>
      <w:r>
        <w:rPr>
          <w:rFonts w:ascii="Calibri" w:hAnsi="Calibri"/>
          <w:color w:val="525866"/>
          <w:sz w:val="22"/>
        </w:rPr>
        <w:t xml:space="preserve"> AVB (Apr 28, 2026), ESS (Apr 29, 2026), UDR (Apr 30, 2026), MAA (Apr 30, 2026), CPT (May 1, 2026). All Q1 2026 earnings calls.</w:t>
      </w:r>
    </w:p>
    <w:p>
      <w:pPr>
        <w:pStyle w:val="ListBullet"/>
        <w:ind w:left="360" w:hanging="360"/>
      </w:pPr>
      <w:r>
        <w:rPr>
          <w:rFonts w:ascii="Calibri" w:hAnsi="Calibri"/>
          <w:b/>
          <w:color w:val="525866"/>
          <w:sz w:val="22"/>
        </w:rPr>
        <w:t>EQR 8-K Filings:</w:t>
      </w:r>
      <w:r>
        <w:rPr>
          <w:rFonts w:ascii="Calibri" w:hAnsi="Calibri"/>
          <w:color w:val="525866"/>
          <w:sz w:val="22"/>
        </w:rPr>
        <w:t xml:space="preserve"> Q1 2026 Earnings Release (Apr 28, 2026); Annual Meeting Results (Jun 22, 2026).</w:t>
      </w:r>
    </w:p>
    <w:p>
      <w:pPr>
        <w:pStyle w:val="ListBullet"/>
        <w:ind w:left="360" w:hanging="360"/>
      </w:pPr>
      <w:r>
        <w:rPr>
          <w:rFonts w:ascii="Calibri" w:hAnsi="Calibri"/>
          <w:b/>
          <w:color w:val="525866"/>
          <w:sz w:val="22"/>
        </w:rPr>
        <w:t>Disclaimer:</w:t>
      </w:r>
      <w:r>
        <w:rPr>
          <w:rFonts w:ascii="Calibri" w:hAnsi="Calibri"/>
          <w:color w:val="525866"/>
          <w:sz w:val="22"/>
        </w:rPr>
        <w:t xml:space="preserve"> This document is prepared for informational purposes only and does not constitute investment advice. All estimates and consensus figures are subject to change. Forward-looking statements are based on information available as of July 21,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