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Equity Residential (EQR) — Q2 2026 Earnings Preview</w:t>
      </w:r>
    </w:p>
    <w:p>
      <w:r>
        <w:rPr>
          <w:rFonts w:ascii="Calibri" w:hAnsi="Calibri"/>
          <w:i/>
          <w:color w:val="525866"/>
          <w:sz w:val="22"/>
        </w:rPr>
        <w:t>Prepared: July 21, 2026  |  Earnings Release: July 22, 2026 (After Market Close)  |  Reporting Period: Q2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on Core FFO — consensus sits at the low end of guidance and blended rate momentum accelerated sharply through Q2 — but the single biggest swing factor is whether new lease change has recovered from April's −1.1% toward flat by quarter-end, as management guided.</w:t>
      </w:r>
    </w:p>
    <w:p>
      <w:r>
        <w:rPr>
          <w:rFonts w:ascii="Calibri" w:hAnsi="Calibri"/>
          <w:color w:val="525866"/>
          <w:sz w:val="22"/>
        </w:rPr>
        <w:t xml:space="preserve">EQR heads into Q2 2026 earnings with a constructive operational backdrop: April blended rates already printed at </w:t>
      </w:r>
      <w:r>
        <w:rPr>
          <w:rFonts w:ascii="Calibri" w:hAnsi="Calibri"/>
          <w:b/>
          <w:color w:val="525866"/>
          <w:sz w:val="22"/>
        </w:rPr>
        <w:t>3.0%</w:t>
      </w:r>
      <w:r>
        <w:rPr>
          <w:rFonts w:ascii="Calibri" w:hAnsi="Calibri"/>
          <w:color w:val="525866"/>
          <w:sz w:val="22"/>
        </w:rPr>
        <w:t xml:space="preserve"> — double the Q1 level — and renewal quotes went out at just over 6%, giving management high confidence in achieving ~5% renewal rate increases through peak leasing season. The bar is not demanding: consensus Core FFO of </w:t>
      </w:r>
      <w:r>
        <w:rPr>
          <w:rFonts w:ascii="Calibri" w:hAnsi="Calibri"/>
          <w:b/>
          <w:color w:val="525866"/>
          <w:sz w:val="22"/>
        </w:rPr>
        <w:t>$1.01 per share</w:t>
      </w:r>
      <w:r>
        <w:rPr>
          <w:rFonts w:ascii="Calibri" w:hAnsi="Calibri"/>
          <w:color w:val="525866"/>
          <w:sz w:val="22"/>
        </w:rPr>
        <w:t xml:space="preserve"> sits at the midpoint of the $0.98–$1.02 guidance range, and same-store revenue growth consensus of ~2.2% is at the low end of the 1.2%–3.2% full-year guidance band. Management's tone on the Q1 call was explicitly optimistic — "unprecedented times with such low levels of new supply" — and the supply tailwind is real: deliveries in EQR's markets are expected to be down 35% in 2026 vs. 2025. Estimate revisions have been modestly negative since the Q1 print (Core FFO for Q2 drifted from ~$1.009 to $1.012, essentially flat), suggesting the street has not aggressively raised the bar. The stock has re-rated ~7.7% over the past three months, with roughly half driven by multiple expansion, so some good news is priced in. The key wildcard is the </w:t>
      </w:r>
      <w:r>
        <w:rPr>
          <w:rFonts w:ascii="Calibri" w:hAnsi="Calibri"/>
          <w:b/>
          <w:color w:val="525866"/>
          <w:sz w:val="22"/>
        </w:rPr>
        <w:t>AVB/EQR merger announcement (May 21, 2026)</w:t>
      </w:r>
      <w:r>
        <w:rPr>
          <w:rFonts w:ascii="Calibri" w:hAnsi="Calibri"/>
          <w:color w:val="525866"/>
          <w:sz w:val="22"/>
        </w:rPr>
        <w:t>: management will face intense questions about deal certainty, timeline, and whether standalone guidance remains operative — any ambiguity on deal mechanics could overshadow an otherwise solid operational print.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modest/achievable bar on Core FFO; the bigger swing factor is blended rate growth, where April's 3.0% print already implies Q2 could land at or above the ~3.0% consensus estimate. Same-store NOI growth consensus of ~1.4% is the metric most likely to surprise in either direction depending on expense execution.</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 vs. Guidance Mid</w:t>
            </w:r>
          </w:p>
        </w:tc>
      </w:tr>
      <w:tr>
        <w:tc>
          <w:tcPr>
            <w:tcW w:type="dxa" w:w="1234"/>
          </w:tcPr>
          <w:p>
            <w:r>
              <w:rPr>
                <w:rFonts w:ascii="Calibri" w:hAnsi="Calibri"/>
                <w:sz w:val="22"/>
              </w:rPr>
              <w:t>Core FFO per Share — Diluted ($)</w:t>
            </w:r>
          </w:p>
        </w:tc>
        <w:tc>
          <w:tcPr>
            <w:tcW w:type="dxa" w:w="1234"/>
          </w:tcPr>
          <w:p>
            <w:r>
              <w:rPr>
                <w:rFonts w:ascii="Calibri" w:hAnsi="Calibri"/>
                <w:sz w:val="22"/>
              </w:rPr>
              <w:t>$0.99</w:t>
            </w:r>
          </w:p>
        </w:tc>
        <w:tc>
          <w:tcPr>
            <w:tcW w:type="dxa" w:w="1234"/>
          </w:tcPr>
          <w:p>
            <w:r>
              <w:rPr>
                <w:rFonts w:ascii="Calibri" w:hAnsi="Calibri"/>
                <w:sz w:val="22"/>
              </w:rPr>
              <w:t>$0.99</w:t>
            </w:r>
          </w:p>
        </w:tc>
        <w:tc>
          <w:tcPr>
            <w:tcW w:type="dxa" w:w="1234"/>
          </w:tcPr>
          <w:p>
            <w:r>
              <w:rPr>
                <w:rFonts w:ascii="Calibri" w:hAnsi="Calibri"/>
                <w:sz w:val="22"/>
              </w:rPr>
              <w:t>$1.01</w:t>
            </w:r>
          </w:p>
        </w:tc>
        <w:tc>
          <w:tcPr>
            <w:tcW w:type="dxa" w:w="1234"/>
          </w:tcPr>
          <w:p>
            <w:r>
              <w:rPr>
                <w:rFonts w:ascii="Calibri" w:hAnsi="Calibri"/>
                <w:sz w:val="22"/>
              </w:rPr>
              <w:t>+$0.02 / +2.0%</w:t>
            </w:r>
          </w:p>
        </w:tc>
        <w:tc>
          <w:tcPr>
            <w:tcW w:type="dxa" w:w="1234"/>
          </w:tcPr>
          <w:p>
            <w:r>
              <w:rPr>
                <w:rFonts w:ascii="Calibri" w:hAnsi="Calibri"/>
                <w:sz w:val="22"/>
              </w:rPr>
              <w:t>$0.98–$1.02 (mid: $1.00)</w:t>
            </w:r>
          </w:p>
        </w:tc>
        <w:tc>
          <w:tcPr>
            <w:tcW w:type="dxa" w:w="1234"/>
          </w:tcPr>
          <w:p>
            <w:r>
              <w:rPr>
                <w:rFonts w:ascii="Calibri" w:hAnsi="Calibri"/>
                <w:sz w:val="22"/>
              </w:rPr>
              <w:t>+1.2% above mid</w:t>
            </w:r>
          </w:p>
        </w:tc>
      </w:tr>
      <w:tr>
        <w:tc>
          <w:tcPr>
            <w:tcW w:type="dxa" w:w="1234"/>
          </w:tcPr>
          <w:p>
            <w:r>
              <w:rPr>
                <w:rFonts w:ascii="Calibri" w:hAnsi="Calibri"/>
                <w:sz w:val="22"/>
              </w:rPr>
              <w:t>Same-Store Revenue Growth YoY (%)</w:t>
            </w:r>
          </w:p>
        </w:tc>
        <w:tc>
          <w:tcPr>
            <w:tcW w:type="dxa" w:w="1234"/>
          </w:tcPr>
          <w:p>
            <w:r>
              <w:rPr>
                <w:rFonts w:ascii="Calibri" w:hAnsi="Calibri"/>
                <w:sz w:val="22"/>
              </w:rPr>
              <w:t>+2.2%</w:t>
            </w:r>
          </w:p>
        </w:tc>
        <w:tc>
          <w:tcPr>
            <w:tcW w:type="dxa" w:w="1234"/>
          </w:tcPr>
          <w:p>
            <w:r>
              <w:rPr>
                <w:rFonts w:ascii="Calibri" w:hAnsi="Calibri"/>
                <w:sz w:val="22"/>
              </w:rPr>
              <w:t>+2.9%</w:t>
            </w:r>
          </w:p>
        </w:tc>
        <w:tc>
          <w:tcPr>
            <w:tcW w:type="dxa" w:w="1234"/>
          </w:tcPr>
          <w:p>
            <w:r>
              <w:rPr>
                <w:rFonts w:ascii="Calibri" w:hAnsi="Calibri"/>
                <w:sz w:val="22"/>
              </w:rPr>
              <w:t>+2.2%</w:t>
            </w:r>
          </w:p>
        </w:tc>
        <w:tc>
          <w:tcPr>
            <w:tcW w:type="dxa" w:w="1234"/>
          </w:tcPr>
          <w:p>
            <w:r>
              <w:rPr>
                <w:rFonts w:ascii="Calibri" w:hAnsi="Calibri"/>
                <w:sz w:val="22"/>
              </w:rPr>
              <w:t>−70 bps YoY</w:t>
            </w:r>
          </w:p>
        </w:tc>
        <w:tc>
          <w:tcPr>
            <w:tcW w:type="dxa" w:w="1234"/>
          </w:tcPr>
          <w:p>
            <w:r>
              <w:rPr>
                <w:rFonts w:ascii="Calibri" w:hAnsi="Calibri"/>
                <w:sz w:val="22"/>
              </w:rPr>
              <w:t>1.2%–3.2% FY (mid: 2.2%)</w:t>
            </w:r>
          </w:p>
        </w:tc>
        <w:tc>
          <w:tcPr>
            <w:tcW w:type="dxa" w:w="1234"/>
          </w:tcPr>
          <w:p>
            <w:r>
              <w:rPr>
                <w:rFonts w:ascii="Calibri" w:hAnsi="Calibri"/>
                <w:sz w:val="22"/>
              </w:rPr>
              <w:t>At guidance mid</w:t>
            </w:r>
          </w:p>
        </w:tc>
      </w:tr>
      <w:tr>
        <w:tc>
          <w:tcPr>
            <w:tcW w:type="dxa" w:w="1234"/>
          </w:tcPr>
          <w:p>
            <w:r>
              <w:rPr>
                <w:rFonts w:ascii="Calibri" w:hAnsi="Calibri"/>
                <w:sz w:val="22"/>
              </w:rPr>
              <w:t>Same-Store NOI Growth YoY (%)</w:t>
            </w:r>
          </w:p>
        </w:tc>
        <w:tc>
          <w:tcPr>
            <w:tcW w:type="dxa" w:w="1234"/>
          </w:tcPr>
          <w:p>
            <w:r>
              <w:rPr>
                <w:rFonts w:ascii="Calibri" w:hAnsi="Calibri"/>
                <w:sz w:val="22"/>
              </w:rPr>
              <w:t>+1.4%</w:t>
            </w:r>
          </w:p>
        </w:tc>
        <w:tc>
          <w:tcPr>
            <w:tcW w:type="dxa" w:w="1234"/>
          </w:tcPr>
          <w:p>
            <w:r>
              <w:rPr>
                <w:rFonts w:ascii="Calibri" w:hAnsi="Calibri"/>
                <w:sz w:val="22"/>
              </w:rPr>
              <w:t>+2.3%</w:t>
            </w:r>
          </w:p>
        </w:tc>
        <w:tc>
          <w:tcPr>
            <w:tcW w:type="dxa" w:w="1234"/>
          </w:tcPr>
          <w:p>
            <w:r>
              <w:rPr>
                <w:rFonts w:ascii="Calibri" w:hAnsi="Calibri"/>
                <w:sz w:val="22"/>
              </w:rPr>
              <w:t>+1.4%</w:t>
            </w:r>
          </w:p>
        </w:tc>
        <w:tc>
          <w:tcPr>
            <w:tcW w:type="dxa" w:w="1234"/>
          </w:tcPr>
          <w:p>
            <w:r>
              <w:rPr>
                <w:rFonts w:ascii="Calibri" w:hAnsi="Calibri"/>
                <w:sz w:val="22"/>
              </w:rPr>
              <w:t>−90 bps YoY</w:t>
            </w:r>
          </w:p>
        </w:tc>
        <w:tc>
          <w:tcPr>
            <w:tcW w:type="dxa" w:w="1234"/>
          </w:tcPr>
          <w:p>
            <w:r>
              <w:rPr>
                <w:rFonts w:ascii="Calibri" w:hAnsi="Calibri"/>
                <w:sz w:val="22"/>
              </w:rPr>
              <w:t>0.5%–2.5% FY (mid: 1.5%)</w:t>
            </w:r>
          </w:p>
        </w:tc>
        <w:tc>
          <w:tcPr>
            <w:tcW w:type="dxa" w:w="1234"/>
          </w:tcPr>
          <w:p>
            <w:r>
              <w:rPr>
                <w:rFonts w:ascii="Calibri" w:hAnsi="Calibri"/>
                <w:sz w:val="22"/>
              </w:rPr>
              <w:t>At guidance mid</w:t>
            </w:r>
          </w:p>
        </w:tc>
      </w:tr>
      <w:tr>
        <w:tc>
          <w:tcPr>
            <w:tcW w:type="dxa" w:w="1234"/>
          </w:tcPr>
          <w:p>
            <w:r>
              <w:rPr>
                <w:rFonts w:ascii="Calibri" w:hAnsi="Calibri"/>
                <w:sz w:val="22"/>
              </w:rPr>
              <w:t>Effective Blended Lease Rate — Same Store (%)</w:t>
            </w:r>
          </w:p>
        </w:tc>
        <w:tc>
          <w:tcPr>
            <w:tcW w:type="dxa" w:w="1234"/>
          </w:tcPr>
          <w:p>
            <w:r>
              <w:rPr>
                <w:rFonts w:ascii="Calibri" w:hAnsi="Calibri"/>
                <w:sz w:val="22"/>
              </w:rPr>
              <w:t>+1.5%</w:t>
            </w:r>
          </w:p>
        </w:tc>
        <w:tc>
          <w:tcPr>
            <w:tcW w:type="dxa" w:w="1234"/>
          </w:tcPr>
          <w:p>
            <w:r>
              <w:rPr>
                <w:rFonts w:ascii="Calibri" w:hAnsi="Calibri"/>
                <w:sz w:val="22"/>
              </w:rPr>
              <w:t>+3.0%</w:t>
            </w:r>
          </w:p>
        </w:tc>
        <w:tc>
          <w:tcPr>
            <w:tcW w:type="dxa" w:w="1234"/>
          </w:tcPr>
          <w:p>
            <w:r>
              <w:rPr>
                <w:rFonts w:ascii="Calibri" w:hAnsi="Calibri"/>
                <w:sz w:val="22"/>
              </w:rPr>
              <w:t>+3.0%</w:t>
            </w:r>
          </w:p>
        </w:tc>
        <w:tc>
          <w:tcPr>
            <w:tcW w:type="dxa" w:w="1234"/>
          </w:tcPr>
          <w:p>
            <w:r>
              <w:rPr>
                <w:rFonts w:ascii="Calibri" w:hAnsi="Calibri"/>
                <w:sz w:val="22"/>
              </w:rPr>
              <w:t>Flat YoY</w:t>
            </w:r>
          </w:p>
        </w:tc>
        <w:tc>
          <w:tcPr>
            <w:tcW w:type="dxa" w:w="1234"/>
          </w:tcPr>
          <w:p>
            <w:r>
              <w:rPr>
                <w:rFonts w:ascii="Calibri" w:hAnsi="Calibri"/>
                <w:sz w:val="22"/>
              </w:rPr>
              <w:t>1.5%–3.0% FY (implied)</w:t>
            </w:r>
          </w:p>
        </w:tc>
        <w:tc>
          <w:tcPr>
            <w:tcW w:type="dxa" w:w="1234"/>
          </w:tcPr>
          <w:p>
            <w:r>
              <w:rPr>
                <w:rFonts w:ascii="Calibri" w:hAnsi="Calibri"/>
                <w:sz w:val="22"/>
              </w:rPr>
              <w:t>At high end</w:t>
            </w:r>
          </w:p>
        </w:tc>
      </w:tr>
      <w:tr>
        <w:tc>
          <w:tcPr>
            <w:tcW w:type="dxa" w:w="1234"/>
          </w:tcPr>
          <w:p>
            <w:r>
              <w:rPr>
                <w:rFonts w:ascii="Calibri" w:hAnsi="Calibri"/>
                <w:sz w:val="22"/>
              </w:rPr>
              <w:t>Effective New Lease Rate — Same Store (%)</w:t>
            </w:r>
          </w:p>
        </w:tc>
        <w:tc>
          <w:tcPr>
            <w:tcW w:type="dxa" w:w="1234"/>
          </w:tcPr>
          <w:p>
            <w:r>
              <w:rPr>
                <w:rFonts w:ascii="Calibri" w:hAnsi="Calibri"/>
                <w:sz w:val="22"/>
              </w:rPr>
              <w:t>−2.8%</w:t>
            </w:r>
          </w:p>
        </w:tc>
        <w:tc>
          <w:tcPr>
            <w:tcW w:type="dxa" w:w="1234"/>
          </w:tcPr>
          <w:p>
            <w:r>
              <w:rPr>
                <w:rFonts w:ascii="Calibri" w:hAnsi="Calibri"/>
                <w:sz w:val="22"/>
              </w:rPr>
              <w:t>−0.1%</w:t>
            </w:r>
          </w:p>
        </w:tc>
        <w:tc>
          <w:tcPr>
            <w:tcW w:type="dxa" w:w="1234"/>
          </w:tcPr>
          <w:p>
            <w:r>
              <w:rPr>
                <w:rFonts w:ascii="Calibri" w:hAnsi="Calibri"/>
                <w:sz w:val="22"/>
              </w:rPr>
              <w:t>−0.3%</w:t>
            </w:r>
          </w:p>
        </w:tc>
        <w:tc>
          <w:tcPr>
            <w:tcW w:type="dxa" w:w="1234"/>
          </w:tcPr>
          <w:p>
            <w:r>
              <w:rPr>
                <w:rFonts w:ascii="Calibri" w:hAnsi="Calibri"/>
                <w:sz w:val="22"/>
              </w:rPr>
              <w:t>−20 bps YoY</w:t>
            </w:r>
          </w:p>
        </w:tc>
        <w:tc>
          <w:tcPr>
            <w:tcW w:type="dxa" w:w="1234"/>
          </w:tcPr>
          <w:p>
            <w:r>
              <w:rPr>
                <w:rFonts w:ascii="Calibri" w:hAnsi="Calibri"/>
                <w:sz w:val="22"/>
              </w:rPr>
              <w:t>~Flat (mgmt guided)</w:t>
            </w:r>
          </w:p>
        </w:tc>
        <w:tc>
          <w:tcPr>
            <w:tcW w:type="dxa" w:w="1234"/>
          </w:tcPr>
          <w:p>
            <w:r>
              <w:rPr>
                <w:rFonts w:ascii="Calibri" w:hAnsi="Calibri"/>
                <w:sz w:val="22"/>
              </w:rPr>
              <w:t>Slightly below flat</w:t>
            </w:r>
          </w:p>
        </w:tc>
      </w:tr>
      <w:tr>
        <w:tc>
          <w:tcPr>
            <w:tcW w:type="dxa" w:w="1234"/>
          </w:tcPr>
          <w:p>
            <w:r>
              <w:rPr>
                <w:rFonts w:ascii="Calibri" w:hAnsi="Calibri"/>
                <w:sz w:val="22"/>
              </w:rPr>
              <w:t>Effective Renewal Rate — Same Store (%)</w:t>
            </w:r>
          </w:p>
        </w:tc>
        <w:tc>
          <w:tcPr>
            <w:tcW w:type="dxa" w:w="1234"/>
          </w:tcPr>
          <w:p>
            <w:r>
              <w:rPr>
                <w:rFonts w:ascii="Calibri" w:hAnsi="Calibri"/>
                <w:sz w:val="22"/>
              </w:rPr>
              <w:t>+4.7%</w:t>
            </w:r>
          </w:p>
        </w:tc>
        <w:tc>
          <w:tcPr>
            <w:tcW w:type="dxa" w:w="1234"/>
          </w:tcPr>
          <w:p>
            <w:r>
              <w:rPr>
                <w:rFonts w:ascii="Calibri" w:hAnsi="Calibri"/>
                <w:sz w:val="22"/>
              </w:rPr>
              <w:t>+5.2%</w:t>
            </w:r>
          </w:p>
        </w:tc>
        <w:tc>
          <w:tcPr>
            <w:tcW w:type="dxa" w:w="1234"/>
          </w:tcPr>
          <w:p>
            <w:r>
              <w:rPr>
                <w:rFonts w:ascii="Calibri" w:hAnsi="Calibri"/>
                <w:sz w:val="22"/>
              </w:rPr>
              <w:t>+5.1%</w:t>
            </w:r>
          </w:p>
        </w:tc>
        <w:tc>
          <w:tcPr>
            <w:tcW w:type="dxa" w:w="1234"/>
          </w:tcPr>
          <w:p>
            <w:r>
              <w:rPr>
                <w:rFonts w:ascii="Calibri" w:hAnsi="Calibri"/>
                <w:sz w:val="22"/>
              </w:rPr>
              <w:t>−10 bps YoY</w:t>
            </w:r>
          </w:p>
        </w:tc>
        <w:tc>
          <w:tcPr>
            <w:tcW w:type="dxa" w:w="1234"/>
          </w:tcPr>
          <w:p>
            <w:r>
              <w:rPr>
                <w:rFonts w:ascii="Calibri" w:hAnsi="Calibri"/>
                <w:sz w:val="22"/>
              </w:rPr>
              <w:t>~5.0% (mgmt guided)</w:t>
            </w:r>
          </w:p>
        </w:tc>
        <w:tc>
          <w:tcPr>
            <w:tcW w:type="dxa" w:w="1234"/>
          </w:tcPr>
          <w:p>
            <w:r>
              <w:rPr>
                <w:rFonts w:ascii="Calibri" w:hAnsi="Calibri"/>
                <w:sz w:val="22"/>
              </w:rPr>
              <w:t>+10 bps above mid</w:t>
            </w:r>
          </w:p>
        </w:tc>
      </w:tr>
      <w:tr>
        <w:tc>
          <w:tcPr>
            <w:tcW w:type="dxa" w:w="1234"/>
          </w:tcPr>
          <w:p>
            <w:r>
              <w:rPr>
                <w:rFonts w:ascii="Calibri" w:hAnsi="Calibri"/>
                <w:sz w:val="22"/>
              </w:rPr>
              <w:t>Same-Store Physical Occupancy (%)</w:t>
            </w:r>
          </w:p>
        </w:tc>
        <w:tc>
          <w:tcPr>
            <w:tcW w:type="dxa" w:w="1234"/>
          </w:tcPr>
          <w:p>
            <w:r>
              <w:rPr>
                <w:rFonts w:ascii="Calibri" w:hAnsi="Calibri"/>
                <w:sz w:val="22"/>
              </w:rPr>
              <w:t>96.5%</w:t>
            </w:r>
          </w:p>
        </w:tc>
        <w:tc>
          <w:tcPr>
            <w:tcW w:type="dxa" w:w="1234"/>
          </w:tcPr>
          <w:p>
            <w:r>
              <w:rPr>
                <w:rFonts w:ascii="Calibri" w:hAnsi="Calibri"/>
                <w:sz w:val="22"/>
              </w:rPr>
              <w:t>96.6%</w:t>
            </w:r>
          </w:p>
        </w:tc>
        <w:tc>
          <w:tcPr>
            <w:tcW w:type="dxa" w:w="1234"/>
          </w:tcPr>
          <w:p>
            <w:r>
              <w:rPr>
                <w:rFonts w:ascii="Calibri" w:hAnsi="Calibri"/>
                <w:sz w:val="22"/>
              </w:rPr>
              <w:t>96.5%</w:t>
            </w:r>
          </w:p>
        </w:tc>
        <w:tc>
          <w:tcPr>
            <w:tcW w:type="dxa" w:w="1234"/>
          </w:tcPr>
          <w:p>
            <w:r>
              <w:rPr>
                <w:rFonts w:ascii="Calibri" w:hAnsi="Calibri"/>
                <w:sz w:val="22"/>
              </w:rPr>
              <w:t>−10 bps YoY</w:t>
            </w:r>
          </w:p>
        </w:tc>
        <w:tc>
          <w:tcPr>
            <w:tcW w:type="dxa" w:w="1234"/>
          </w:tcPr>
          <w:p>
            <w:r>
              <w:rPr>
                <w:rFonts w:ascii="Calibri" w:hAnsi="Calibri"/>
                <w:sz w:val="22"/>
              </w:rPr>
              <w:t>96.4% FY</w:t>
            </w:r>
          </w:p>
        </w:tc>
        <w:tc>
          <w:tcPr>
            <w:tcW w:type="dxa" w:w="1234"/>
          </w:tcPr>
          <w:p>
            <w:r>
              <w:rPr>
                <w:rFonts w:ascii="Calibri" w:hAnsi="Calibri"/>
                <w:sz w:val="22"/>
              </w:rPr>
              <w:t>+10 bps above FY guide</w:t>
            </w:r>
          </w:p>
        </w:tc>
      </w:tr>
    </w:tbl>
    <w:p>
      <w:r>
        <w:rPr>
          <w:rFonts w:ascii="Calibri" w:hAnsi="Calibri"/>
          <w:i/>
          <w:color w:val="525866"/>
          <w:sz w:val="22"/>
        </w:rPr>
        <w:t>Sources: Visible Alpha consensus and actuals data for all KPI estimates and actuals. Q2 2026 guidance from EQR Q1 2026 Earnings Release (April 28, 2026). April 2026 blended rate of 3.0% from EQR Q1 2026 Earnings Release preliminary data.</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Core FFO per Share —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$0.99</w:t>
            </w:r>
          </w:p>
        </w:tc>
        <w:tc>
          <w:tcPr>
            <w:tcW w:type="dxa" w:w="1728"/>
          </w:tcPr>
          <w:p>
            <w:r>
              <w:rPr>
                <w:rFonts w:ascii="Calibri" w:hAnsi="Calibri"/>
                <w:sz w:val="22"/>
              </w:rPr>
              <w:t>$0.97</w:t>
            </w:r>
          </w:p>
        </w:tc>
        <w:tc>
          <w:tcPr>
            <w:tcW w:type="dxa" w:w="1728"/>
          </w:tcPr>
          <w:p>
            <w:r>
              <w:rPr>
                <w:rFonts w:ascii="Calibri" w:hAnsi="Calibri"/>
                <w:sz w:val="22"/>
              </w:rPr>
              <w:t>+2.1%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$1.03</w:t>
            </w:r>
          </w:p>
        </w:tc>
        <w:tc>
          <w:tcPr>
            <w:tcW w:type="dxa" w:w="1728"/>
          </w:tcPr>
          <w:p>
            <w:r>
              <w:rPr>
                <w:rFonts w:ascii="Calibri" w:hAnsi="Calibri"/>
                <w:sz w:val="22"/>
              </w:rPr>
              <w:t>$1.04</w:t>
            </w:r>
          </w:p>
        </w:tc>
        <w:tc>
          <w:tcPr>
            <w:tcW w:type="dxa" w:w="1728"/>
          </w:tcPr>
          <w:p>
            <w:r>
              <w:rPr>
                <w:rFonts w:ascii="Calibri" w:hAnsi="Calibri"/>
                <w:sz w:val="22"/>
              </w:rPr>
              <w:t>−1.0%</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$1.02</w:t>
            </w:r>
          </w:p>
        </w:tc>
        <w:tc>
          <w:tcPr>
            <w:tcW w:type="dxa" w:w="1728"/>
          </w:tcPr>
          <w:p>
            <w:r>
              <w:rPr>
                <w:rFonts w:ascii="Calibri" w:hAnsi="Calibri"/>
                <w:sz w:val="22"/>
              </w:rPr>
              <w:t>$1.01</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$0.99</w:t>
            </w:r>
          </w:p>
        </w:tc>
        <w:tc>
          <w:tcPr>
            <w:tcW w:type="dxa" w:w="1728"/>
          </w:tcPr>
          <w:p>
            <w:r>
              <w:rPr>
                <w:rFonts w:ascii="Calibri" w:hAnsi="Calibri"/>
                <w:sz w:val="22"/>
              </w:rPr>
              <w:t>$0.98</w:t>
            </w:r>
          </w:p>
        </w:tc>
        <w:tc>
          <w:tcPr>
            <w:tcW w:type="dxa" w:w="1728"/>
          </w:tcPr>
          <w:p>
            <w:r>
              <w:rPr>
                <w:rFonts w:ascii="Calibri" w:hAnsi="Calibri"/>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$0.95</w:t>
            </w:r>
          </w:p>
        </w:tc>
        <w:tc>
          <w:tcPr>
            <w:tcW w:type="dxa" w:w="1728"/>
          </w:tcPr>
          <w:p>
            <w:r>
              <w:rPr>
                <w:rFonts w:ascii="Calibri" w:hAnsi="Calibri"/>
                <w:sz w:val="22"/>
              </w:rPr>
              <w:t>$0.94</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$1.00</w:t>
            </w:r>
          </w:p>
        </w:tc>
        <w:tc>
          <w:tcPr>
            <w:tcW w:type="dxa" w:w="1728"/>
          </w:tcPr>
          <w:p>
            <w:r>
              <w:rPr>
                <w:rFonts w:ascii="Calibri" w:hAnsi="Calibri"/>
                <w:sz w:val="22"/>
              </w:rPr>
              <w:t>$1.00</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Q3 2024</w:t>
            </w:r>
          </w:p>
        </w:tc>
        <w:tc>
          <w:tcPr>
            <w:tcW w:type="dxa" w:w="1728"/>
          </w:tcPr>
          <w:p>
            <w:r>
              <w:rPr>
                <w:rFonts w:ascii="Calibri" w:hAnsi="Calibri"/>
                <w:sz w:val="22"/>
              </w:rPr>
              <w:t>$0.98</w:t>
            </w:r>
          </w:p>
        </w:tc>
        <w:tc>
          <w:tcPr>
            <w:tcW w:type="dxa" w:w="1728"/>
          </w:tcPr>
          <w:p>
            <w:r>
              <w:rPr>
                <w:rFonts w:ascii="Calibri" w:hAnsi="Calibri"/>
                <w:sz w:val="22"/>
              </w:rPr>
              <w:t>$0.98</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Q2 2024</w:t>
            </w:r>
          </w:p>
        </w:tc>
        <w:tc>
          <w:tcPr>
            <w:tcW w:type="dxa" w:w="1728"/>
          </w:tcPr>
          <w:p>
            <w:r>
              <w:rPr>
                <w:rFonts w:ascii="Calibri" w:hAnsi="Calibri"/>
                <w:sz w:val="22"/>
              </w:rPr>
              <w:t>N/A — pre-window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Same-Store Revenue Growth YoY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+2.2%</w:t>
            </w:r>
          </w:p>
        </w:tc>
        <w:tc>
          <w:tcPr>
            <w:tcW w:type="dxa" w:w="1728"/>
          </w:tcPr>
          <w:p>
            <w:r>
              <w:rPr>
                <w:rFonts w:ascii="Calibri" w:hAnsi="Calibri"/>
                <w:sz w:val="22"/>
              </w:rPr>
              <w:t>+2.0%</w:t>
            </w:r>
          </w:p>
        </w:tc>
        <w:tc>
          <w:tcPr>
            <w:tcW w:type="dxa" w:w="1728"/>
          </w:tcPr>
          <w:p>
            <w:r>
              <w:rPr>
                <w:rFonts w:ascii="Calibri" w:hAnsi="Calibri"/>
                <w:sz w:val="22"/>
              </w:rPr>
              <w:t>+20 bps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+2.4%</w:t>
            </w:r>
          </w:p>
        </w:tc>
        <w:tc>
          <w:tcPr>
            <w:tcW w:type="dxa" w:w="1728"/>
          </w:tcPr>
          <w:p>
            <w:r>
              <w:rPr>
                <w:rFonts w:ascii="Calibri" w:hAnsi="Calibri"/>
                <w:sz w:val="22"/>
              </w:rPr>
              <w:t>+2.8%</w:t>
            </w:r>
          </w:p>
        </w:tc>
        <w:tc>
          <w:tcPr>
            <w:tcW w:type="dxa" w:w="1728"/>
          </w:tcPr>
          <w:p>
            <w:r>
              <w:rPr>
                <w:rFonts w:ascii="Calibri" w:hAnsi="Calibri"/>
                <w:sz w:val="22"/>
              </w:rPr>
              <w:t>−40 bps</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+3.0%</w:t>
            </w:r>
          </w:p>
        </w:tc>
        <w:tc>
          <w:tcPr>
            <w:tcW w:type="dxa" w:w="1728"/>
          </w:tcPr>
          <w:p>
            <w:r>
              <w:rPr>
                <w:rFonts w:ascii="Calibri" w:hAnsi="Calibri"/>
                <w:sz w:val="22"/>
              </w:rPr>
              <w:t>+3.1%</w:t>
            </w:r>
          </w:p>
        </w:tc>
        <w:tc>
          <w:tcPr>
            <w:tcW w:type="dxa" w:w="1728"/>
          </w:tcPr>
          <w:p>
            <w:r>
              <w:rPr>
                <w:rFonts w:ascii="Calibri" w:hAnsi="Calibri"/>
                <w:sz w:val="22"/>
              </w:rPr>
              <w:t>−10 bps</w:t>
            </w:r>
          </w:p>
        </w:tc>
        <w:tc>
          <w:tcPr>
            <w:tcW w:type="dxa" w:w="1728"/>
          </w:tcPr>
          <w:p>
            <w:r>
              <w:rPr>
                <w:rFonts w:ascii="Calibri" w:hAnsi="Calibri"/>
                <w:sz w:val="22"/>
              </w:rPr>
              <w:t>In Line</w:t>
            </w:r>
          </w:p>
        </w:tc>
      </w:tr>
      <w:tr>
        <w:tc>
          <w:tcPr>
            <w:tcW w:type="dxa" w:w="1728"/>
          </w:tcPr>
          <w:p>
            <w:r>
              <w:rPr>
                <w:rFonts w:ascii="Calibri" w:hAnsi="Calibri"/>
                <w:sz w:val="22"/>
              </w:rPr>
              <w:t>Q2 2025</w:t>
            </w:r>
          </w:p>
        </w:tc>
        <w:tc>
          <w:tcPr>
            <w:tcW w:type="dxa" w:w="1728"/>
          </w:tcPr>
          <w:p>
            <w:r>
              <w:rPr>
                <w:rFonts w:ascii="Calibri" w:hAnsi="Calibri"/>
                <w:sz w:val="22"/>
              </w:rPr>
              <w:t>+2.9%</w:t>
            </w:r>
          </w:p>
        </w:tc>
        <w:tc>
          <w:tcPr>
            <w:tcW w:type="dxa" w:w="1728"/>
          </w:tcPr>
          <w:p>
            <w:r>
              <w:rPr>
                <w:rFonts w:ascii="Calibri" w:hAnsi="Calibri"/>
                <w:sz w:val="22"/>
              </w:rPr>
              <w:t>+2.7%</w:t>
            </w:r>
          </w:p>
        </w:tc>
        <w:tc>
          <w:tcPr>
            <w:tcW w:type="dxa" w:w="1728"/>
          </w:tcPr>
          <w:p>
            <w:r>
              <w:rPr>
                <w:rFonts w:ascii="Calibri" w:hAnsi="Calibri"/>
                <w:sz w:val="22"/>
              </w:rPr>
              <w:t>+20 bps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+2.2%</w:t>
            </w:r>
          </w:p>
        </w:tc>
        <w:tc>
          <w:tcPr>
            <w:tcW w:type="dxa" w:w="1728"/>
          </w:tcPr>
          <w:p>
            <w:r>
              <w:rPr>
                <w:rFonts w:ascii="Calibri" w:hAnsi="Calibri"/>
                <w:sz w:val="22"/>
              </w:rPr>
              <w:t>+2.2%</w:t>
            </w:r>
          </w:p>
        </w:tc>
        <w:tc>
          <w:tcPr>
            <w:tcW w:type="dxa" w:w="1728"/>
          </w:tcPr>
          <w:p>
            <w:r>
              <w:rPr>
                <w:rFonts w:ascii="Calibri" w:hAnsi="Calibri"/>
                <w:sz w:val="22"/>
              </w:rPr>
              <w:t>0 bps</w:t>
            </w:r>
          </w:p>
        </w:tc>
        <w:tc>
          <w:tcPr>
            <w:tcW w:type="dxa" w:w="1728"/>
          </w:tcPr>
          <w:p>
            <w:r>
              <w:rPr>
                <w:rFonts w:ascii="Calibri" w:hAnsi="Calibri"/>
                <w:sz w:val="22"/>
              </w:rPr>
              <w:t>In Line</w:t>
            </w:r>
          </w:p>
        </w:tc>
      </w:tr>
      <w:tr>
        <w:tc>
          <w:tcPr>
            <w:tcW w:type="dxa" w:w="1728"/>
          </w:tcPr>
          <w:p>
            <w:r>
              <w:rPr>
                <w:rFonts w:ascii="Calibri" w:hAnsi="Calibri"/>
                <w:sz w:val="22"/>
              </w:rPr>
              <w:t>Q4 2024</w:t>
            </w:r>
          </w:p>
        </w:tc>
        <w:tc>
          <w:tcPr>
            <w:tcW w:type="dxa" w:w="1728"/>
          </w:tcPr>
          <w:p>
            <w:r>
              <w:rPr>
                <w:rFonts w:ascii="Calibri" w:hAnsi="Calibri"/>
                <w:sz w:val="22"/>
              </w:rPr>
              <w:t>+2.4%</w:t>
            </w:r>
          </w:p>
        </w:tc>
        <w:tc>
          <w:tcPr>
            <w:tcW w:type="dxa" w:w="1728"/>
          </w:tcPr>
          <w:p>
            <w:r>
              <w:rPr>
                <w:rFonts w:ascii="Calibri" w:hAnsi="Calibri"/>
                <w:sz w:val="22"/>
              </w:rPr>
              <w:t>+2.8%</w:t>
            </w:r>
          </w:p>
        </w:tc>
        <w:tc>
          <w:tcPr>
            <w:tcW w:type="dxa" w:w="1728"/>
          </w:tcPr>
          <w:p>
            <w:r>
              <w:rPr>
                <w:rFonts w:ascii="Calibri" w:hAnsi="Calibri"/>
                <w:sz w:val="22"/>
              </w:rPr>
              <w:t>−40 bps</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+2.5%</w:t>
            </w:r>
          </w:p>
        </w:tc>
        <w:tc>
          <w:tcPr>
            <w:tcW w:type="dxa" w:w="1728"/>
          </w:tcPr>
          <w:p>
            <w:r>
              <w:rPr>
                <w:rFonts w:ascii="Calibri" w:hAnsi="Calibri"/>
                <w:sz w:val="22"/>
              </w:rPr>
              <w:t>+2.9%</w:t>
            </w:r>
          </w:p>
        </w:tc>
        <w:tc>
          <w:tcPr>
            <w:tcW w:type="dxa" w:w="1728"/>
          </w:tcPr>
          <w:p>
            <w:r>
              <w:rPr>
                <w:rFonts w:ascii="Calibri" w:hAnsi="Calibri"/>
                <w:sz w:val="22"/>
              </w:rPr>
              <w:t>−40 bps</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N/A — pre-window</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EQR has beaten or met Core FFO consensus in 6 of the last 7 reported quarters, with the sole miss in Q4 2025 driven by expense pressure. Same-store revenue has been more mixed, with three misses in the prior four quarters before Q1 2026's beat, suggesting the revenue bar has historically been set too high — a dynamic that may now be correcting as consensus has moderated.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guidance is unchanged since the Q1 2026 earnings call (April 28–29, 2026); no post-earnings 8-K or conference update has revised any metric. Tone has been constructive — management entered peak leasing season with explicit confidence in renewal rates and supply tailwinds — but the AVB merger announcement (May 21) introduces a new layer of strategic uncertainty that may affect how management frames standalone guidance on the Q2 call.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Normalized FFO per Share — FY 2026</w:t>
            </w:r>
          </w:p>
        </w:tc>
        <w:tc>
          <w:tcPr>
            <w:tcW w:type="dxa" w:w="1728"/>
          </w:tcPr>
          <w:p>
            <w:r>
              <w:rPr>
                <w:rFonts w:ascii="Calibri" w:hAnsi="Calibri"/>
                <w:sz w:val="22"/>
              </w:rPr>
              <w:t>$4.02–$4.14 (mid: $4.08)</w:t>
            </w:r>
          </w:p>
        </w:tc>
        <w:tc>
          <w:tcPr>
            <w:tcW w:type="dxa" w:w="1728"/>
          </w:tcPr>
          <w:p>
            <w:r>
              <w:rPr>
                <w:rFonts w:ascii="Calibri" w:hAnsi="Calibri"/>
                <w:sz w:val="22"/>
              </w:rPr>
              <w:t>—</w:t>
            </w:r>
          </w:p>
        </w:tc>
        <w:tc>
          <w:tcPr>
            <w:tcW w:type="dxa" w:w="1728"/>
          </w:tcPr>
          <w:p>
            <w:r>
              <w:rPr>
                <w:rFonts w:ascii="Calibri" w:hAnsi="Calibri"/>
                <w:sz w:val="22"/>
              </w:rPr>
              <w:t>$4.09</w:t>
            </w:r>
          </w:p>
        </w:tc>
        <w:tc>
          <w:tcPr>
            <w:tcW w:type="dxa" w:w="1728"/>
          </w:tcPr>
          <w:p>
            <w:r>
              <w:rPr>
                <w:rFonts w:ascii="Calibri" w:hAnsi="Calibri"/>
                <w:sz w:val="22"/>
              </w:rPr>
              <w:t>Unchanged; consensus at mid. Merger announcement (May 21) has not altered standalone guidance.</w:t>
            </w:r>
          </w:p>
        </w:tc>
      </w:tr>
      <w:tr>
        <w:tc>
          <w:tcPr>
            <w:tcW w:type="dxa" w:w="1728"/>
          </w:tcPr>
          <w:p>
            <w:r>
              <w:rPr>
                <w:rFonts w:ascii="Calibri" w:hAnsi="Calibri"/>
                <w:sz w:val="22"/>
              </w:rPr>
              <w:t>Normalized FFO per Share — Q2 2026</w:t>
            </w:r>
          </w:p>
        </w:tc>
        <w:tc>
          <w:tcPr>
            <w:tcW w:type="dxa" w:w="1728"/>
          </w:tcPr>
          <w:p>
            <w:r>
              <w:rPr>
                <w:rFonts w:ascii="Calibri" w:hAnsi="Calibri"/>
                <w:sz w:val="22"/>
              </w:rPr>
              <w:t>$0.98–$1.02 (mid: $1.00)</w:t>
            </w:r>
          </w:p>
        </w:tc>
        <w:tc>
          <w:tcPr>
            <w:tcW w:type="dxa" w:w="1728"/>
          </w:tcPr>
          <w:p>
            <w:r>
              <w:rPr>
                <w:rFonts w:ascii="Calibri" w:hAnsi="Calibri"/>
                <w:sz w:val="22"/>
              </w:rPr>
              <w:t>—</w:t>
            </w:r>
          </w:p>
        </w:tc>
        <w:tc>
          <w:tcPr>
            <w:tcW w:type="dxa" w:w="1728"/>
          </w:tcPr>
          <w:p>
            <w:r>
              <w:rPr>
                <w:rFonts w:ascii="Calibri" w:hAnsi="Calibri"/>
                <w:sz w:val="22"/>
              </w:rPr>
              <w:t>$1.01</w:t>
            </w:r>
          </w:p>
        </w:tc>
        <w:tc>
          <w:tcPr>
            <w:tcW w:type="dxa" w:w="1728"/>
          </w:tcPr>
          <w:p>
            <w:r>
              <w:rPr>
                <w:rFonts w:ascii="Calibri" w:hAnsi="Calibri"/>
                <w:sz w:val="22"/>
              </w:rPr>
              <w:t>Consensus slightly above mid; no revision since Q1 print.</w:t>
            </w:r>
          </w:p>
        </w:tc>
      </w:tr>
      <w:tr>
        <w:tc>
          <w:tcPr>
            <w:tcW w:type="dxa" w:w="1728"/>
          </w:tcPr>
          <w:p>
            <w:r>
              <w:rPr>
                <w:rFonts w:ascii="Calibri" w:hAnsi="Calibri"/>
                <w:sz w:val="22"/>
              </w:rPr>
              <w:t>Same-Store Revenue Growth — FY 2026</w:t>
            </w:r>
          </w:p>
        </w:tc>
        <w:tc>
          <w:tcPr>
            <w:tcW w:type="dxa" w:w="1728"/>
          </w:tcPr>
          <w:p>
            <w:r>
              <w:rPr>
                <w:rFonts w:ascii="Calibri" w:hAnsi="Calibri"/>
                <w:sz w:val="22"/>
              </w:rPr>
              <w:t>+1.2% to +3.2% (mid: +2.2%)</w:t>
            </w:r>
          </w:p>
        </w:tc>
        <w:tc>
          <w:tcPr>
            <w:tcW w:type="dxa" w:w="1728"/>
          </w:tcPr>
          <w:p>
            <w:r>
              <w:rPr>
                <w:rFonts w:ascii="Calibri" w:hAnsi="Calibri"/>
                <w:sz w:val="22"/>
              </w:rPr>
              <w:t>—</w:t>
            </w:r>
          </w:p>
        </w:tc>
        <w:tc>
          <w:tcPr>
            <w:tcW w:type="dxa" w:w="1728"/>
          </w:tcPr>
          <w:p>
            <w:r>
              <w:rPr>
                <w:rFonts w:ascii="Calibri" w:hAnsi="Calibri"/>
                <w:sz w:val="22"/>
              </w:rPr>
              <w:t>+2.3%</w:t>
            </w:r>
          </w:p>
        </w:tc>
        <w:tc>
          <w:tcPr>
            <w:tcW w:type="dxa" w:w="1728"/>
          </w:tcPr>
          <w:p>
            <w:r>
              <w:rPr>
                <w:rFonts w:ascii="Calibri" w:hAnsi="Calibri"/>
                <w:sz w:val="22"/>
              </w:rPr>
              <w:t>Consensus near mid; no change since Q1 call.</w:t>
            </w:r>
          </w:p>
        </w:tc>
      </w:tr>
      <w:tr>
        <w:tc>
          <w:tcPr>
            <w:tcW w:type="dxa" w:w="1728"/>
          </w:tcPr>
          <w:p>
            <w:r>
              <w:rPr>
                <w:rFonts w:ascii="Calibri" w:hAnsi="Calibri"/>
                <w:sz w:val="22"/>
              </w:rPr>
              <w:t>Same-Store NOI Growth — FY 2026</w:t>
            </w:r>
          </w:p>
        </w:tc>
        <w:tc>
          <w:tcPr>
            <w:tcW w:type="dxa" w:w="1728"/>
          </w:tcPr>
          <w:p>
            <w:r>
              <w:rPr>
                <w:rFonts w:ascii="Calibri" w:hAnsi="Calibri"/>
                <w:sz w:val="22"/>
              </w:rPr>
              <w:t>+0.5% to +2.5% (mid: +1.5%)</w:t>
            </w:r>
          </w:p>
        </w:tc>
        <w:tc>
          <w:tcPr>
            <w:tcW w:type="dxa" w:w="1728"/>
          </w:tcPr>
          <w:p>
            <w:r>
              <w:rPr>
                <w:rFonts w:ascii="Calibri" w:hAnsi="Calibri"/>
                <w:sz w:val="22"/>
              </w:rPr>
              <w:t>—</w:t>
            </w:r>
          </w:p>
        </w:tc>
        <w:tc>
          <w:tcPr>
            <w:tcW w:type="dxa" w:w="1728"/>
          </w:tcPr>
          <w:p>
            <w:r>
              <w:rPr>
                <w:rFonts w:ascii="Calibri" w:hAnsi="Calibri"/>
                <w:sz w:val="22"/>
              </w:rPr>
              <w:t>+1.6%</w:t>
            </w:r>
          </w:p>
        </w:tc>
        <w:tc>
          <w:tcPr>
            <w:tcW w:type="dxa" w:w="1728"/>
          </w:tcPr>
          <w:p>
            <w:r>
              <w:rPr>
                <w:rFonts w:ascii="Calibri" w:hAnsi="Calibri"/>
                <w:sz w:val="22"/>
              </w:rPr>
              <w:t>Consensus slightly above mid; expense trajectory is the key variable.</w:t>
            </w:r>
          </w:p>
        </w:tc>
      </w:tr>
      <w:tr>
        <w:tc>
          <w:tcPr>
            <w:tcW w:type="dxa" w:w="1728"/>
          </w:tcPr>
          <w:p>
            <w:r>
              <w:rPr>
                <w:rFonts w:ascii="Calibri" w:hAnsi="Calibri"/>
                <w:sz w:val="22"/>
              </w:rPr>
              <w:t>Same-Store Physical Occupancy — FY 2026</w:t>
            </w:r>
          </w:p>
        </w:tc>
        <w:tc>
          <w:tcPr>
            <w:tcW w:type="dxa" w:w="1728"/>
          </w:tcPr>
          <w:p>
            <w:r>
              <w:rPr>
                <w:rFonts w:ascii="Calibri" w:hAnsi="Calibri"/>
                <w:sz w:val="22"/>
              </w:rPr>
              <w:t>96.4%</w:t>
            </w:r>
          </w:p>
        </w:tc>
        <w:tc>
          <w:tcPr>
            <w:tcW w:type="dxa" w:w="1728"/>
          </w:tcPr>
          <w:p>
            <w:r>
              <w:rPr>
                <w:rFonts w:ascii="Calibri" w:hAnsi="Calibri"/>
                <w:sz w:val="22"/>
              </w:rPr>
              <w:t>—</w:t>
            </w:r>
          </w:p>
        </w:tc>
        <w:tc>
          <w:tcPr>
            <w:tcW w:type="dxa" w:w="1728"/>
          </w:tcPr>
          <w:p>
            <w:r>
              <w:rPr>
                <w:rFonts w:ascii="Calibri" w:hAnsi="Calibri"/>
                <w:sz w:val="22"/>
              </w:rPr>
              <w:t>96.4%</w:t>
            </w:r>
          </w:p>
        </w:tc>
        <w:tc>
          <w:tcPr>
            <w:tcW w:type="dxa" w:w="1728"/>
          </w:tcPr>
          <w:p>
            <w:r>
              <w:rPr>
                <w:rFonts w:ascii="Calibri" w:hAnsi="Calibri"/>
                <w:sz w:val="22"/>
              </w:rPr>
              <w:t>Consensus exactly at guidance; occupancy has been stable.</w:t>
            </w:r>
          </w:p>
        </w:tc>
      </w:tr>
      <w:tr>
        <w:tc>
          <w:tcPr>
            <w:tcW w:type="dxa" w:w="1728"/>
          </w:tcPr>
          <w:p>
            <w:r>
              <w:rPr>
                <w:rFonts w:ascii="Calibri" w:hAnsi="Calibri"/>
                <w:sz w:val="22"/>
              </w:rPr>
              <w:t>Blended Rate Growth — FY 2026 (implied)</w:t>
            </w:r>
          </w:p>
        </w:tc>
        <w:tc>
          <w:tcPr>
            <w:tcW w:type="dxa" w:w="1728"/>
          </w:tcPr>
          <w:p>
            <w:r>
              <w:rPr>
                <w:rFonts w:ascii="Calibri" w:hAnsi="Calibri"/>
                <w:sz w:val="22"/>
              </w:rPr>
              <w:t>~1.5%–3.0% (mgmt: "not changing full-year expectations")</w:t>
            </w:r>
          </w:p>
        </w:tc>
        <w:tc>
          <w:tcPr>
            <w:tcW w:type="dxa" w:w="1728"/>
          </w:tcPr>
          <w:p>
            <w:r>
              <w:rPr>
                <w:rFonts w:ascii="Calibri" w:hAnsi="Calibri"/>
                <w:sz w:val="22"/>
              </w:rPr>
              <w:t>—</w:t>
            </w:r>
          </w:p>
        </w:tc>
        <w:tc>
          <w:tcPr>
            <w:tcW w:type="dxa" w:w="1728"/>
          </w:tcPr>
          <w:p>
            <w:r>
              <w:rPr>
                <w:rFonts w:ascii="Calibri" w:hAnsi="Calibri"/>
                <w:sz w:val="22"/>
              </w:rPr>
              <w:t>~2.4%</w:t>
            </w:r>
          </w:p>
        </w:tc>
        <w:tc>
          <w:tcPr>
            <w:tcW w:type="dxa" w:w="1728"/>
          </w:tcPr>
          <w:p>
            <w:r>
              <w:rPr>
                <w:rFonts w:ascii="Calibri" w:hAnsi="Calibri"/>
                <w:sz w:val="22"/>
              </w:rPr>
              <w:t>April blended rate of 3.0% is tracking above FY consensus; upside risk if peak season holds.</w:t>
            </w:r>
          </w:p>
        </w:tc>
      </w:tr>
      <w:tr>
        <w:tc>
          <w:tcPr>
            <w:tcW w:type="dxa" w:w="1728"/>
          </w:tcPr>
          <w:p>
            <w:r>
              <w:rPr>
                <w:rFonts w:ascii="Calibri" w:hAnsi="Calibri"/>
                <w:sz w:val="22"/>
              </w:rPr>
              <w:t>Consolidated Dispositions — FY 2026</w:t>
            </w:r>
          </w:p>
        </w:tc>
        <w:tc>
          <w:tcPr>
            <w:tcW w:type="dxa" w:w="1728"/>
          </w:tcPr>
          <w:p>
            <w:r>
              <w:rPr>
                <w:rFonts w:ascii="Calibri" w:hAnsi="Calibri"/>
                <w:sz w:val="22"/>
              </w:rPr>
              <w:t>$165M (introduced for first time at Q1 earnings)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First-ever quarterly disposition guidance; merger may alter capital allocation plans.</w:t>
            </w:r>
          </w:p>
        </w:tc>
      </w:tr>
    </w:tbl>
    <w:p>
      <w:r>
        <w:rPr>
          <w:rFonts w:ascii="Calibri" w:hAnsi="Calibri"/>
          <w:i/>
          <w:color w:val="525866"/>
          <w:sz w:val="22"/>
        </w:rPr>
        <w:t>Sources: EQR Q1 2026 Earnings Release (April 28, 2026); EQR Q1 2026 Earnings Call transcript (April 29, 2026); Visible Alpha consensus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Core FFO have been essentially flat since the Q1 print (+0.3%), while same-store NOI growth estimates have drifted modestly lower (−18 bps) — suggesting the street is not aggressively pricing in the supply tailwind yet. Full-year estimates are also little-changed, leaving room for a positive revision cycle if Q2 execution is clean.</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 (Period)</w:t>
            </w:r>
          </w:p>
        </w:tc>
        <w:tc>
          <w:tcPr>
            <w:tcW w:type="dxa" w:w="1234"/>
            <w:shd w:val="clear" w:color="auto" w:fill="3B4259"/>
          </w:tcPr>
          <w:p>
            <w:r>
              <w:rPr>
                <w:rFonts w:ascii="Calibri" w:hAnsi="Calibri"/>
                <w:b/>
                <w:color w:val="FFFFFF"/>
                <w:sz w:val="22"/>
              </w:rPr>
              <w:t>Estimate ~5 Days Post Q1 Earnings (May 5, 2026)</w:t>
            </w:r>
          </w:p>
        </w:tc>
        <w:tc>
          <w:tcPr>
            <w:tcW w:type="dxa" w:w="1234"/>
            <w:shd w:val="clear" w:color="auto" w:fill="3B4259"/>
          </w:tcPr>
          <w:p>
            <w:r>
              <w:rPr>
                <w:rFonts w:ascii="Calibri" w:hAnsi="Calibri"/>
                <w:b/>
                <w:color w:val="FFFFFF"/>
                <w:sz w:val="22"/>
              </w:rPr>
              <w:t>Current Estimate (Jul 21, 2026)</w:t>
            </w:r>
          </w:p>
        </w:tc>
        <w:tc>
          <w:tcPr>
            <w:tcW w:type="dxa" w:w="1234"/>
            <w:shd w:val="clear" w:color="auto" w:fill="3B4259"/>
          </w:tcPr>
          <w:p>
            <w:r>
              <w:rPr>
                <w:rFonts w:ascii="Calibri" w:hAnsi="Calibri"/>
                <w:b/>
                <w:color w:val="FFFFFF"/>
                <w:sz w:val="22"/>
              </w:rPr>
              <w:t>Estimate Δ (%)</w:t>
            </w:r>
          </w:p>
        </w:tc>
        <w:tc>
          <w:tcPr>
            <w:tcW w:type="dxa" w:w="1234"/>
            <w:shd w:val="clear" w:color="auto" w:fill="3B4259"/>
          </w:tcPr>
          <w:p>
            <w:r>
              <w:rPr>
                <w:rFonts w:ascii="Calibri" w:hAnsi="Calibri"/>
                <w:b/>
                <w:color w:val="FFFFFF"/>
                <w:sz w:val="22"/>
              </w:rPr>
              <w:t>Initial Guidance (Q1 Call)</w:t>
            </w:r>
          </w:p>
        </w:tc>
        <w:tc>
          <w:tcPr>
            <w:tcW w:type="dxa" w:w="1234"/>
            <w:shd w:val="clear" w:color="auto" w:fill="3B4259"/>
          </w:tcPr>
          <w:p>
            <w:r>
              <w:rPr>
                <w:rFonts w:ascii="Calibri" w:hAnsi="Calibri"/>
                <w:b/>
                <w:color w:val="FFFFFF"/>
                <w:sz w:val="22"/>
              </w:rPr>
              <w:t>Current Guidance</w:t>
            </w:r>
          </w:p>
        </w:tc>
        <w:tc>
          <w:tcPr>
            <w:tcW w:type="dxa" w:w="1234"/>
            <w:shd w:val="clear" w:color="auto" w:fill="3B4259"/>
          </w:tcPr>
          <w:p>
            <w:r>
              <w:rPr>
                <w:rFonts w:ascii="Calibri" w:hAnsi="Calibri"/>
                <w:b/>
                <w:color w:val="FFFFFF"/>
                <w:sz w:val="22"/>
              </w:rPr>
              <w:t>Cons. vs. Guidance Mid (%)</w:t>
            </w:r>
          </w:p>
        </w:tc>
      </w:tr>
      <w:tr>
        <w:tc>
          <w:tcPr>
            <w:tcW w:type="dxa" w:w="1234"/>
          </w:tcPr>
          <w:p>
            <w:r>
              <w:rPr>
                <w:rFonts w:ascii="Calibri" w:hAnsi="Calibri"/>
                <w:sz w:val="22"/>
              </w:rPr>
              <w:t>Core FFO/Share — Q2 2026</w:t>
            </w:r>
          </w:p>
        </w:tc>
        <w:tc>
          <w:tcPr>
            <w:tcW w:type="dxa" w:w="1234"/>
          </w:tcPr>
          <w:p>
            <w:r>
              <w:rPr>
                <w:rFonts w:ascii="Calibri" w:hAnsi="Calibri"/>
                <w:sz w:val="22"/>
              </w:rPr>
              <w:t>$1.007</w:t>
            </w:r>
          </w:p>
        </w:tc>
        <w:tc>
          <w:tcPr>
            <w:tcW w:type="dxa" w:w="1234"/>
          </w:tcPr>
          <w:p>
            <w:r>
              <w:rPr>
                <w:rFonts w:ascii="Calibri" w:hAnsi="Calibri"/>
                <w:sz w:val="22"/>
              </w:rPr>
              <w:t>$1.012</w:t>
            </w:r>
          </w:p>
        </w:tc>
        <w:tc>
          <w:tcPr>
            <w:tcW w:type="dxa" w:w="1234"/>
          </w:tcPr>
          <w:p>
            <w:r>
              <w:rPr>
                <w:rFonts w:ascii="Calibri" w:hAnsi="Calibri"/>
                <w:sz w:val="22"/>
              </w:rPr>
              <w:t>+0.5%</w:t>
            </w:r>
          </w:p>
        </w:tc>
        <w:tc>
          <w:tcPr>
            <w:tcW w:type="dxa" w:w="1234"/>
          </w:tcPr>
          <w:p>
            <w:r>
              <w:rPr>
                <w:rFonts w:ascii="Calibri" w:hAnsi="Calibri"/>
                <w:sz w:val="22"/>
              </w:rPr>
              <w:t>$0.98–$1.02</w:t>
            </w:r>
          </w:p>
        </w:tc>
        <w:tc>
          <w:tcPr>
            <w:tcW w:type="dxa" w:w="1234"/>
          </w:tcPr>
          <w:p>
            <w:r>
              <w:rPr>
                <w:rFonts w:ascii="Calibri" w:hAnsi="Calibri"/>
                <w:sz w:val="22"/>
              </w:rPr>
              <w:t>Unchanged</w:t>
            </w:r>
          </w:p>
        </w:tc>
        <w:tc>
          <w:tcPr>
            <w:tcW w:type="dxa" w:w="1234"/>
          </w:tcPr>
          <w:p>
            <w:r>
              <w:rPr>
                <w:rFonts w:ascii="Calibri" w:hAnsi="Calibri"/>
                <w:sz w:val="22"/>
              </w:rPr>
              <w:t>+1.2% above mid</w:t>
            </w:r>
          </w:p>
        </w:tc>
      </w:tr>
      <w:tr>
        <w:tc>
          <w:tcPr>
            <w:tcW w:type="dxa" w:w="1234"/>
          </w:tcPr>
          <w:p>
            <w:r>
              <w:rPr>
                <w:rFonts w:ascii="Calibri" w:hAnsi="Calibri"/>
                <w:sz w:val="22"/>
              </w:rPr>
              <w:t>Core FFO/Share — FY 2026</w:t>
            </w:r>
          </w:p>
        </w:tc>
        <w:tc>
          <w:tcPr>
            <w:tcW w:type="dxa" w:w="1234"/>
          </w:tcPr>
          <w:p>
            <w:r>
              <w:rPr>
                <w:rFonts w:ascii="Calibri" w:hAnsi="Calibri"/>
                <w:sz w:val="22"/>
              </w:rPr>
              <w:t>$4.097</w:t>
            </w:r>
          </w:p>
        </w:tc>
        <w:tc>
          <w:tcPr>
            <w:tcW w:type="dxa" w:w="1234"/>
          </w:tcPr>
          <w:p>
            <w:r>
              <w:rPr>
                <w:rFonts w:ascii="Calibri" w:hAnsi="Calibri"/>
                <w:sz w:val="22"/>
              </w:rPr>
              <w:t>$4.086</w:t>
            </w:r>
          </w:p>
        </w:tc>
        <w:tc>
          <w:tcPr>
            <w:tcW w:type="dxa" w:w="1234"/>
          </w:tcPr>
          <w:p>
            <w:r>
              <w:rPr>
                <w:rFonts w:ascii="Calibri" w:hAnsi="Calibri"/>
                <w:sz w:val="22"/>
              </w:rPr>
              <w:t>−0.3%</w:t>
            </w:r>
          </w:p>
        </w:tc>
        <w:tc>
          <w:tcPr>
            <w:tcW w:type="dxa" w:w="1234"/>
          </w:tcPr>
          <w:p>
            <w:r>
              <w:rPr>
                <w:rFonts w:ascii="Calibri" w:hAnsi="Calibri"/>
                <w:sz w:val="22"/>
              </w:rPr>
              <w:t>$4.02–$4.14</w:t>
            </w:r>
          </w:p>
        </w:tc>
        <w:tc>
          <w:tcPr>
            <w:tcW w:type="dxa" w:w="1234"/>
          </w:tcPr>
          <w:p>
            <w:r>
              <w:rPr>
                <w:rFonts w:ascii="Calibri" w:hAnsi="Calibri"/>
                <w:sz w:val="22"/>
              </w:rPr>
              <w:t>Unchanged</w:t>
            </w:r>
          </w:p>
        </w:tc>
        <w:tc>
          <w:tcPr>
            <w:tcW w:type="dxa" w:w="1234"/>
          </w:tcPr>
          <w:p>
            <w:r>
              <w:rPr>
                <w:rFonts w:ascii="Calibri" w:hAnsi="Calibri"/>
                <w:sz w:val="22"/>
              </w:rPr>
              <w:t>−0.3% below mid</w:t>
            </w:r>
          </w:p>
        </w:tc>
      </w:tr>
      <w:tr>
        <w:tc>
          <w:tcPr>
            <w:tcW w:type="dxa" w:w="1234"/>
          </w:tcPr>
          <w:p>
            <w:r>
              <w:rPr>
                <w:rFonts w:ascii="Calibri" w:hAnsi="Calibri"/>
                <w:sz w:val="22"/>
              </w:rPr>
              <w:t>SS Revenue Growth — Q2 2026</w:t>
            </w:r>
          </w:p>
        </w:tc>
        <w:tc>
          <w:tcPr>
            <w:tcW w:type="dxa" w:w="1234"/>
          </w:tcPr>
          <w:p>
            <w:r>
              <w:rPr>
                <w:rFonts w:ascii="Calibri" w:hAnsi="Calibri"/>
                <w:sz w:val="22"/>
              </w:rPr>
              <w:t>+2.35%</w:t>
            </w:r>
          </w:p>
        </w:tc>
        <w:tc>
          <w:tcPr>
            <w:tcW w:type="dxa" w:w="1234"/>
          </w:tcPr>
          <w:p>
            <w:r>
              <w:rPr>
                <w:rFonts w:ascii="Calibri" w:hAnsi="Calibri"/>
                <w:sz w:val="22"/>
              </w:rPr>
              <w:t>+2.17%</w:t>
            </w:r>
          </w:p>
        </w:tc>
        <w:tc>
          <w:tcPr>
            <w:tcW w:type="dxa" w:w="1234"/>
          </w:tcPr>
          <w:p>
            <w:r>
              <w:rPr>
                <w:rFonts w:ascii="Calibri" w:hAnsi="Calibri"/>
                <w:sz w:val="22"/>
              </w:rPr>
              <w:t>−18 bps</w:t>
            </w:r>
          </w:p>
        </w:tc>
        <w:tc>
          <w:tcPr>
            <w:tcW w:type="dxa" w:w="1234"/>
          </w:tcPr>
          <w:p>
            <w:r>
              <w:rPr>
                <w:rFonts w:ascii="Calibri" w:hAnsi="Calibri"/>
                <w:sz w:val="22"/>
              </w:rPr>
              <w:t>1.2%–3.2% FY</w:t>
            </w:r>
          </w:p>
        </w:tc>
        <w:tc>
          <w:tcPr>
            <w:tcW w:type="dxa" w:w="1234"/>
          </w:tcPr>
          <w:p>
            <w:r>
              <w:rPr>
                <w:rFonts w:ascii="Calibri" w:hAnsi="Calibri"/>
                <w:sz w:val="22"/>
              </w:rPr>
              <w:t>Unchanged</w:t>
            </w:r>
          </w:p>
        </w:tc>
        <w:tc>
          <w:tcPr>
            <w:tcW w:type="dxa" w:w="1234"/>
          </w:tcPr>
          <w:p>
            <w:r>
              <w:rPr>
                <w:rFonts w:ascii="Calibri" w:hAnsi="Calibri"/>
                <w:sz w:val="22"/>
              </w:rPr>
              <w:t>At guidance mid</w:t>
            </w:r>
          </w:p>
        </w:tc>
      </w:tr>
      <w:tr>
        <w:tc>
          <w:tcPr>
            <w:tcW w:type="dxa" w:w="1234"/>
          </w:tcPr>
          <w:p>
            <w:r>
              <w:rPr>
                <w:rFonts w:ascii="Calibri" w:hAnsi="Calibri"/>
                <w:sz w:val="22"/>
              </w:rPr>
              <w:t>SS Revenue Growth — FY 2026</w:t>
            </w:r>
          </w:p>
        </w:tc>
        <w:tc>
          <w:tcPr>
            <w:tcW w:type="dxa" w:w="1234"/>
          </w:tcPr>
          <w:p>
            <w:r>
              <w:rPr>
                <w:rFonts w:ascii="Calibri" w:hAnsi="Calibri"/>
                <w:sz w:val="22"/>
              </w:rPr>
              <w:t>+2.42%</w:t>
            </w:r>
          </w:p>
        </w:tc>
        <w:tc>
          <w:tcPr>
            <w:tcW w:type="dxa" w:w="1234"/>
          </w:tcPr>
          <w:p>
            <w:r>
              <w:rPr>
                <w:rFonts w:ascii="Calibri" w:hAnsi="Calibri"/>
                <w:sz w:val="22"/>
              </w:rPr>
              <w:t>+2.31%</w:t>
            </w:r>
          </w:p>
        </w:tc>
        <w:tc>
          <w:tcPr>
            <w:tcW w:type="dxa" w:w="1234"/>
          </w:tcPr>
          <w:p>
            <w:r>
              <w:rPr>
                <w:rFonts w:ascii="Calibri" w:hAnsi="Calibri"/>
                <w:sz w:val="22"/>
              </w:rPr>
              <w:t>−11 bps</w:t>
            </w:r>
          </w:p>
        </w:tc>
        <w:tc>
          <w:tcPr>
            <w:tcW w:type="dxa" w:w="1234"/>
          </w:tcPr>
          <w:p>
            <w:r>
              <w:rPr>
                <w:rFonts w:ascii="Calibri" w:hAnsi="Calibri"/>
                <w:sz w:val="22"/>
              </w:rPr>
              <w:t>1.2%–3.2% FY</w:t>
            </w:r>
          </w:p>
        </w:tc>
        <w:tc>
          <w:tcPr>
            <w:tcW w:type="dxa" w:w="1234"/>
          </w:tcPr>
          <w:p>
            <w:r>
              <w:rPr>
                <w:rFonts w:ascii="Calibri" w:hAnsi="Calibri"/>
                <w:sz w:val="22"/>
              </w:rPr>
              <w:t>Unchanged</w:t>
            </w:r>
          </w:p>
        </w:tc>
        <w:tc>
          <w:tcPr>
            <w:tcW w:type="dxa" w:w="1234"/>
          </w:tcPr>
          <w:p>
            <w:r>
              <w:rPr>
                <w:rFonts w:ascii="Calibri" w:hAnsi="Calibri"/>
                <w:sz w:val="22"/>
              </w:rPr>
              <w:t>+11 bps above mid</w:t>
            </w:r>
          </w:p>
        </w:tc>
      </w:tr>
      <w:tr>
        <w:tc>
          <w:tcPr>
            <w:tcW w:type="dxa" w:w="1234"/>
          </w:tcPr>
          <w:p>
            <w:r>
              <w:rPr>
                <w:rFonts w:ascii="Calibri" w:hAnsi="Calibri"/>
                <w:sz w:val="22"/>
              </w:rPr>
              <w:t>SS NOI Growth — Q2 2026</w:t>
            </w:r>
          </w:p>
        </w:tc>
        <w:tc>
          <w:tcPr>
            <w:tcW w:type="dxa" w:w="1234"/>
          </w:tcPr>
          <w:p>
            <w:r>
              <w:rPr>
                <w:rFonts w:ascii="Calibri" w:hAnsi="Calibri"/>
                <w:sz w:val="22"/>
              </w:rPr>
              <w:t>+1.58%</w:t>
            </w:r>
          </w:p>
        </w:tc>
        <w:tc>
          <w:tcPr>
            <w:tcW w:type="dxa" w:w="1234"/>
          </w:tcPr>
          <w:p>
            <w:r>
              <w:rPr>
                <w:rFonts w:ascii="Calibri" w:hAnsi="Calibri"/>
                <w:sz w:val="22"/>
              </w:rPr>
              <w:t>+1.40%</w:t>
            </w:r>
          </w:p>
        </w:tc>
        <w:tc>
          <w:tcPr>
            <w:tcW w:type="dxa" w:w="1234"/>
          </w:tcPr>
          <w:p>
            <w:r>
              <w:rPr>
                <w:rFonts w:ascii="Calibri" w:hAnsi="Calibri"/>
                <w:sz w:val="22"/>
              </w:rPr>
              <w:t>−18 bps</w:t>
            </w:r>
          </w:p>
        </w:tc>
        <w:tc>
          <w:tcPr>
            <w:tcW w:type="dxa" w:w="1234"/>
          </w:tcPr>
          <w:p>
            <w:r>
              <w:rPr>
                <w:rFonts w:ascii="Calibri" w:hAnsi="Calibri"/>
                <w:sz w:val="22"/>
              </w:rPr>
              <w:t>0.5%–2.5% FY</w:t>
            </w:r>
          </w:p>
        </w:tc>
        <w:tc>
          <w:tcPr>
            <w:tcW w:type="dxa" w:w="1234"/>
          </w:tcPr>
          <w:p>
            <w:r>
              <w:rPr>
                <w:rFonts w:ascii="Calibri" w:hAnsi="Calibri"/>
                <w:sz w:val="22"/>
              </w:rPr>
              <w:t>Unchanged</w:t>
            </w:r>
          </w:p>
        </w:tc>
        <w:tc>
          <w:tcPr>
            <w:tcW w:type="dxa" w:w="1234"/>
          </w:tcPr>
          <w:p>
            <w:r>
              <w:rPr>
                <w:rFonts w:ascii="Calibri" w:hAnsi="Calibri"/>
                <w:sz w:val="22"/>
              </w:rPr>
              <w:t>At guidance mid</w:t>
            </w:r>
          </w:p>
        </w:tc>
      </w:tr>
      <w:tr>
        <w:tc>
          <w:tcPr>
            <w:tcW w:type="dxa" w:w="1234"/>
          </w:tcPr>
          <w:p>
            <w:r>
              <w:rPr>
                <w:rFonts w:ascii="Calibri" w:hAnsi="Calibri"/>
                <w:sz w:val="22"/>
              </w:rPr>
              <w:t>SS NOI Growth — FY 2026</w:t>
            </w:r>
          </w:p>
        </w:tc>
        <w:tc>
          <w:tcPr>
            <w:tcW w:type="dxa" w:w="1234"/>
          </w:tcPr>
          <w:p>
            <w:r>
              <w:rPr>
                <w:rFonts w:ascii="Calibri" w:hAnsi="Calibri"/>
                <w:sz w:val="22"/>
              </w:rPr>
              <w:t>+1.98%</w:t>
            </w:r>
          </w:p>
        </w:tc>
        <w:tc>
          <w:tcPr>
            <w:tcW w:type="dxa" w:w="1234"/>
          </w:tcPr>
          <w:p>
            <w:r>
              <w:rPr>
                <w:rFonts w:ascii="Calibri" w:hAnsi="Calibri"/>
                <w:sz w:val="22"/>
              </w:rPr>
              <w:t>+1.64%</w:t>
            </w:r>
          </w:p>
        </w:tc>
        <w:tc>
          <w:tcPr>
            <w:tcW w:type="dxa" w:w="1234"/>
          </w:tcPr>
          <w:p>
            <w:r>
              <w:rPr>
                <w:rFonts w:ascii="Calibri" w:hAnsi="Calibri"/>
                <w:sz w:val="22"/>
              </w:rPr>
              <w:t>−34 bps</w:t>
            </w:r>
          </w:p>
        </w:tc>
        <w:tc>
          <w:tcPr>
            <w:tcW w:type="dxa" w:w="1234"/>
          </w:tcPr>
          <w:p>
            <w:r>
              <w:rPr>
                <w:rFonts w:ascii="Calibri" w:hAnsi="Calibri"/>
                <w:sz w:val="22"/>
              </w:rPr>
              <w:t>0.5%–2.5% FY</w:t>
            </w:r>
          </w:p>
        </w:tc>
        <w:tc>
          <w:tcPr>
            <w:tcW w:type="dxa" w:w="1234"/>
          </w:tcPr>
          <w:p>
            <w:r>
              <w:rPr>
                <w:rFonts w:ascii="Calibri" w:hAnsi="Calibri"/>
                <w:sz w:val="22"/>
              </w:rPr>
              <w:t>Unchanged</w:t>
            </w:r>
          </w:p>
        </w:tc>
        <w:tc>
          <w:tcPr>
            <w:tcW w:type="dxa" w:w="1234"/>
          </w:tcPr>
          <w:p>
            <w:r>
              <w:rPr>
                <w:rFonts w:ascii="Calibri" w:hAnsi="Calibri"/>
                <w:sz w:val="22"/>
              </w:rPr>
              <w:t>+14 bps above mid</w:t>
            </w:r>
          </w:p>
        </w:tc>
      </w:tr>
    </w:tbl>
    <w:p>
      <w:r>
        <w:rPr>
          <w:rFonts w:ascii="Calibri" w:hAnsi="Calibri"/>
          <w:i/>
          <w:color w:val="525866"/>
          <w:sz w:val="22"/>
        </w:rPr>
        <w:t>The modest downward drift in same-store NOI and revenue estimates since the Q1 print reflects the street cautiously marking down the back half of the year amid macro uncertainty (tariffs, job market), even as April operating data came in strong. Core FFO estimates are essentially flat, implying the market sees expense management as an offset. If Q2 blended rates print at or above the 3.0% April level, expect upward revisions to both revenue and FFO for the full year. Source: Visible Alpha consensus revision history (weekly, May 8 – July 21,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The stock is up ~7.7% over the past three months and ~10.1% over six months, with the majority of the move driven by </w:t>
      </w:r>
      <w:r>
        <w:rPr>
          <w:rFonts w:ascii="Calibri" w:hAnsi="Calibri"/>
          <w:b/>
          <w:color w:val="525866"/>
          <w:sz w:val="22"/>
        </w:rPr>
        <w:t>multiple expansion</w:t>
      </w:r>
      <w:r>
        <w:rPr>
          <w:rFonts w:ascii="Calibri" w:hAnsi="Calibri"/>
          <w:color w:val="525866"/>
          <w:sz w:val="22"/>
        </w:rPr>
        <w:t xml:space="preserve"> rather than estimate revisions — EV/EBITDA has expanded from ~16.4x to ~17.6x over three months. This means the stock has already priced in some improvement; a clean beat is needed to sustain the re-rating, while a miss or cautious merger commentary could compress the multiple back toward the low-16x range.</w:t>
      </w:r>
    </w:p>
    <w:p>
      <w:r>
        <w:rPr>
          <w:rFonts w:ascii="Calibri" w:hAnsi="Calibri"/>
          <w:color w:val="525866"/>
          <w:sz w:val="22"/>
        </w:rPr>
        <w:t xml:space="preserve">Since the Q1 2026 earnings date (April 28–29, 2026), EQR has outperformed the broader market. Key events during the period include: (1) the </w:t>
      </w:r>
      <w:r>
        <w:rPr>
          <w:rFonts w:ascii="Calibri" w:hAnsi="Calibri"/>
          <w:b/>
          <w:color w:val="525866"/>
          <w:sz w:val="22"/>
        </w:rPr>
        <w:t>AVB/EQR merger of equals announcement on May 21, 2026</w:t>
      </w:r>
      <w:r>
        <w:rPr>
          <w:rFonts w:ascii="Calibri" w:hAnsi="Calibri"/>
          <w:color w:val="525866"/>
          <w:sz w:val="22"/>
        </w:rPr>
        <w:t xml:space="preserve"> — the most significant stock catalyst of the inter-earnings period; (2) the </w:t>
      </w:r>
      <w:r>
        <w:rPr>
          <w:rFonts w:ascii="Calibri" w:hAnsi="Calibri"/>
          <w:b/>
          <w:color w:val="525866"/>
          <w:sz w:val="22"/>
        </w:rPr>
        <w:t>RealPage antitrust settlement ($56M, April 15, 2026)</w:t>
      </w:r>
      <w:r>
        <w:rPr>
          <w:rFonts w:ascii="Calibri" w:hAnsi="Calibri"/>
          <w:color w:val="525866"/>
          <w:sz w:val="22"/>
        </w:rPr>
        <w:t xml:space="preserve"> which removed a legal overhang; and (3) the </w:t>
      </w:r>
      <w:r>
        <w:rPr>
          <w:rFonts w:ascii="Calibri" w:hAnsi="Calibri"/>
          <w:b/>
          <w:color w:val="525866"/>
          <w:sz w:val="22"/>
        </w:rPr>
        <w:t>annual meeting shareholder approval of all proposals (June 22, 2026)</w:t>
      </w:r>
      <w:r>
        <w:rPr>
          <w:rFonts w:ascii="Calibri" w:hAnsi="Calibri"/>
          <w:color w:val="525866"/>
          <w:sz w:val="22"/>
        </w:rPr>
        <w:t xml:space="preserve">. The relevant sector ETF for comparison is </w:t>
      </w:r>
      <w:r>
        <w:rPr>
          <w:rFonts w:ascii="Calibri" w:hAnsi="Calibri"/>
          <w:b/>
          <w:color w:val="525866"/>
          <w:sz w:val="22"/>
        </w:rPr>
        <w:t>XLRE (Real Estate Select Sector SPDR)</w:t>
      </w:r>
      <w:r>
        <w:rPr>
          <w:rFonts w:ascii="Calibri" w:hAnsi="Calibri"/>
          <w:color w:val="525866"/>
          <w:sz w:val="22"/>
        </w:rPr>
        <w:t>, which captures the broad REIT sector including apartment REITs. NTM EV/EBITDA currently stands at 17.6x vs. 16.4x three months ago (+7.6% multiple expansion), accounting for nearly all of the 7.7% price gain over that period. Source: Stock performance decomposition data.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EQR Price Return</w:t>
            </w:r>
          </w:p>
        </w:tc>
        <w:tc>
          <w:tcPr>
            <w:tcW w:type="dxa" w:w="1440"/>
            <w:shd w:val="clear" w:color="auto" w:fill="3B4259"/>
          </w:tcPr>
          <w:p>
            <w:r>
              <w:rPr>
                <w:rFonts w:ascii="Calibri" w:hAnsi="Calibri"/>
                <w:b/>
                <w:color w:val="FFFFFF"/>
                <w:sz w:val="22"/>
              </w:rPr>
              <w:t>NTM EV/EBITDA (Start)</w:t>
            </w:r>
          </w:p>
        </w:tc>
        <w:tc>
          <w:tcPr>
            <w:tcW w:type="dxa" w:w="1440"/>
            <w:shd w:val="clear" w:color="auto" w:fill="3B4259"/>
          </w:tcPr>
          <w:p>
            <w:r>
              <w:rPr>
                <w:rFonts w:ascii="Calibri" w:hAnsi="Calibri"/>
                <w:b/>
                <w:color w:val="FFFFFF"/>
                <w:sz w:val="22"/>
              </w:rPr>
              <w:t>NTM EV/EBITDA (Current)</w:t>
            </w:r>
          </w:p>
        </w:tc>
        <w:tc>
          <w:tcPr>
            <w:tcW w:type="dxa" w:w="1440"/>
            <w:shd w:val="clear" w:color="auto" w:fill="3B4259"/>
          </w:tcPr>
          <w:p>
            <w:r>
              <w:rPr>
                <w:rFonts w:ascii="Calibri" w:hAnsi="Calibri"/>
                <w:b/>
                <w:color w:val="FFFFFF"/>
                <w:sz w:val="22"/>
              </w:rPr>
              <w:t>Multiple Expansion</w:t>
            </w:r>
          </w:p>
        </w:tc>
        <w:tc>
          <w:tcPr>
            <w:tcW w:type="dxa" w:w="1440"/>
            <w:shd w:val="clear" w:color="auto" w:fill="3B4259"/>
          </w:tcPr>
          <w:p>
            <w:r>
              <w:rPr>
                <w:rFonts w:ascii="Calibri" w:hAnsi="Calibri"/>
                <w:b/>
                <w:color w:val="FFFFFF"/>
                <w:sz w:val="22"/>
              </w:rPr>
              <w:t>Driver</w:t>
            </w:r>
          </w:p>
        </w:tc>
      </w:tr>
      <w:tr>
        <w:tc>
          <w:tcPr>
            <w:tcW w:type="dxa" w:w="1440"/>
          </w:tcPr>
          <w:p>
            <w:r>
              <w:rPr>
                <w:rFonts w:ascii="Calibri" w:hAnsi="Calibri"/>
                <w:sz w:val="22"/>
              </w:rPr>
              <w:t>1 Month</w:t>
            </w:r>
          </w:p>
        </w:tc>
        <w:tc>
          <w:tcPr>
            <w:tcW w:type="dxa" w:w="1440"/>
          </w:tcPr>
          <w:p>
            <w:r>
              <w:rPr>
                <w:rFonts w:ascii="Calibri" w:hAnsi="Calibri"/>
                <w:sz w:val="22"/>
              </w:rPr>
              <w:t>+6.6%</w:t>
            </w:r>
          </w:p>
        </w:tc>
        <w:tc>
          <w:tcPr>
            <w:tcW w:type="dxa" w:w="1440"/>
          </w:tcPr>
          <w:p>
            <w:r>
              <w:rPr>
                <w:rFonts w:ascii="Calibri" w:hAnsi="Calibri"/>
                <w:sz w:val="22"/>
              </w:rPr>
              <w:t>16.9x</w:t>
            </w:r>
          </w:p>
        </w:tc>
        <w:tc>
          <w:tcPr>
            <w:tcW w:type="dxa" w:w="1440"/>
          </w:tcPr>
          <w:p>
            <w:r>
              <w:rPr>
                <w:rFonts w:ascii="Calibri" w:hAnsi="Calibri"/>
                <w:sz w:val="22"/>
              </w:rPr>
              <w:t>17.6x</w:t>
            </w:r>
          </w:p>
        </w:tc>
        <w:tc>
          <w:tcPr>
            <w:tcW w:type="dxa" w:w="1440"/>
          </w:tcPr>
          <w:p>
            <w:r>
              <w:rPr>
                <w:rFonts w:ascii="Calibri" w:hAnsi="Calibri"/>
                <w:sz w:val="22"/>
              </w:rPr>
              <w:t>+4.4%</w:t>
            </w:r>
          </w:p>
        </w:tc>
        <w:tc>
          <w:tcPr>
            <w:tcW w:type="dxa" w:w="1440"/>
          </w:tcPr>
          <w:p>
            <w:r>
              <w:rPr>
                <w:rFonts w:ascii="Calibri" w:hAnsi="Calibri"/>
                <w:sz w:val="22"/>
              </w:rPr>
              <w:t>Mostly multiple</w:t>
            </w:r>
          </w:p>
        </w:tc>
      </w:tr>
      <w:tr>
        <w:tc>
          <w:tcPr>
            <w:tcW w:type="dxa" w:w="1440"/>
          </w:tcPr>
          <w:p>
            <w:r>
              <w:rPr>
                <w:rFonts w:ascii="Calibri" w:hAnsi="Calibri"/>
                <w:sz w:val="22"/>
              </w:rPr>
              <w:t>3 Months</w:t>
            </w:r>
          </w:p>
        </w:tc>
        <w:tc>
          <w:tcPr>
            <w:tcW w:type="dxa" w:w="1440"/>
          </w:tcPr>
          <w:p>
            <w:r>
              <w:rPr>
                <w:rFonts w:ascii="Calibri" w:hAnsi="Calibri"/>
                <w:sz w:val="22"/>
              </w:rPr>
              <w:t>+7.7%</w:t>
            </w:r>
          </w:p>
        </w:tc>
        <w:tc>
          <w:tcPr>
            <w:tcW w:type="dxa" w:w="1440"/>
          </w:tcPr>
          <w:p>
            <w:r>
              <w:rPr>
                <w:rFonts w:ascii="Calibri" w:hAnsi="Calibri"/>
                <w:sz w:val="22"/>
              </w:rPr>
              <w:t>16.4x</w:t>
            </w:r>
          </w:p>
        </w:tc>
        <w:tc>
          <w:tcPr>
            <w:tcW w:type="dxa" w:w="1440"/>
          </w:tcPr>
          <w:p>
            <w:r>
              <w:rPr>
                <w:rFonts w:ascii="Calibri" w:hAnsi="Calibri"/>
                <w:sz w:val="22"/>
              </w:rPr>
              <w:t>17.6x</w:t>
            </w:r>
          </w:p>
        </w:tc>
        <w:tc>
          <w:tcPr>
            <w:tcW w:type="dxa" w:w="1440"/>
          </w:tcPr>
          <w:p>
            <w:r>
              <w:rPr>
                <w:rFonts w:ascii="Calibri" w:hAnsi="Calibri"/>
                <w:sz w:val="22"/>
              </w:rPr>
              <w:t>+7.6%</w:t>
            </w:r>
          </w:p>
        </w:tc>
        <w:tc>
          <w:tcPr>
            <w:tcW w:type="dxa" w:w="1440"/>
          </w:tcPr>
          <w:p>
            <w:r>
              <w:rPr>
                <w:rFonts w:ascii="Calibri" w:hAnsi="Calibri"/>
                <w:sz w:val="22"/>
              </w:rPr>
              <w:t>Almost entirely multiple</w:t>
            </w:r>
          </w:p>
        </w:tc>
      </w:tr>
      <w:tr>
        <w:tc>
          <w:tcPr>
            <w:tcW w:type="dxa" w:w="1440"/>
          </w:tcPr>
          <w:p>
            <w:r>
              <w:rPr>
                <w:rFonts w:ascii="Calibri" w:hAnsi="Calibri"/>
                <w:sz w:val="22"/>
              </w:rPr>
              <w:t>6 Months</w:t>
            </w:r>
          </w:p>
        </w:tc>
        <w:tc>
          <w:tcPr>
            <w:tcW w:type="dxa" w:w="1440"/>
          </w:tcPr>
          <w:p>
            <w:r>
              <w:rPr>
                <w:rFonts w:ascii="Calibri" w:hAnsi="Calibri"/>
                <w:sz w:val="22"/>
              </w:rPr>
              <w:t>+10.1%</w:t>
            </w:r>
          </w:p>
        </w:tc>
        <w:tc>
          <w:tcPr>
            <w:tcW w:type="dxa" w:w="1440"/>
          </w:tcPr>
          <w:p>
            <w:r>
              <w:rPr>
                <w:rFonts w:ascii="Calibri" w:hAnsi="Calibri"/>
                <w:sz w:val="22"/>
              </w:rPr>
              <w:t>16.2x</w:t>
            </w:r>
          </w:p>
        </w:tc>
        <w:tc>
          <w:tcPr>
            <w:tcW w:type="dxa" w:w="1440"/>
          </w:tcPr>
          <w:p>
            <w:r>
              <w:rPr>
                <w:rFonts w:ascii="Calibri" w:hAnsi="Calibri"/>
                <w:sz w:val="22"/>
              </w:rPr>
              <w:t>17.6x</w:t>
            </w:r>
          </w:p>
        </w:tc>
        <w:tc>
          <w:tcPr>
            <w:tcW w:type="dxa" w:w="1440"/>
          </w:tcPr>
          <w:p>
            <w:r>
              <w:rPr>
                <w:rFonts w:ascii="Calibri" w:hAnsi="Calibri"/>
                <w:sz w:val="22"/>
              </w:rPr>
              <w:t>+8.8%</w:t>
            </w:r>
          </w:p>
        </w:tc>
        <w:tc>
          <w:tcPr>
            <w:tcW w:type="dxa" w:w="1440"/>
          </w:tcPr>
          <w:p>
            <w:r>
              <w:rPr>
                <w:rFonts w:ascii="Calibri" w:hAnsi="Calibri"/>
                <w:sz w:val="22"/>
              </w:rPr>
              <w:t>Mostly multiple</w:t>
            </w:r>
          </w:p>
        </w:tc>
      </w:tr>
      <w:tr>
        <w:tc>
          <w:tcPr>
            <w:tcW w:type="dxa" w:w="1440"/>
          </w:tcPr>
          <w:p>
            <w:r>
              <w:rPr>
                <w:rFonts w:ascii="Calibri" w:hAnsi="Calibri"/>
                <w:sz w:val="22"/>
              </w:rPr>
              <w:t>12 Months</w:t>
            </w:r>
          </w:p>
        </w:tc>
        <w:tc>
          <w:tcPr>
            <w:tcW w:type="dxa" w:w="1440"/>
          </w:tcPr>
          <w:p>
            <w:r>
              <w:rPr>
                <w:rFonts w:ascii="Calibri" w:hAnsi="Calibri"/>
                <w:sz w:val="22"/>
              </w:rPr>
              <w:t>+1.7%</w:t>
            </w:r>
          </w:p>
        </w:tc>
        <w:tc>
          <w:tcPr>
            <w:tcW w:type="dxa" w:w="1440"/>
          </w:tcPr>
          <w:p>
            <w:r>
              <w:rPr>
                <w:rFonts w:ascii="Calibri" w:hAnsi="Calibri"/>
                <w:sz w:val="22"/>
              </w:rPr>
              <w:t>17.5x</w:t>
            </w:r>
          </w:p>
        </w:tc>
        <w:tc>
          <w:tcPr>
            <w:tcW w:type="dxa" w:w="1440"/>
          </w:tcPr>
          <w:p>
            <w:r>
              <w:rPr>
                <w:rFonts w:ascii="Calibri" w:hAnsi="Calibri"/>
                <w:sz w:val="22"/>
              </w:rPr>
              <w:t>17.6x</w:t>
            </w:r>
          </w:p>
        </w:tc>
        <w:tc>
          <w:tcPr>
            <w:tcW w:type="dxa" w:w="1440"/>
          </w:tcPr>
          <w:p>
            <w:r>
              <w:rPr>
                <w:rFonts w:ascii="Calibri" w:hAnsi="Calibri"/>
                <w:sz w:val="22"/>
              </w:rPr>
              <w:t>+0.8%</w:t>
            </w:r>
          </w:p>
        </w:tc>
        <w:tc>
          <w:tcPr>
            <w:tcW w:type="dxa" w:w="1440"/>
          </w:tcPr>
          <w:p>
            <w:r>
              <w:rPr>
                <w:rFonts w:ascii="Calibri" w:hAnsi="Calibri"/>
                <w:sz w:val="22"/>
              </w:rPr>
              <w:t>Flat; estimate-driven</w:t>
            </w:r>
          </w:p>
        </w:tc>
      </w:tr>
    </w:tbl>
    <w:p>
      <w:r>
        <w:rPr>
          <w:rFonts w:ascii="Calibri" w:hAnsi="Calibri"/>
          <w:i/>
          <w:color w:val="525866"/>
          <w:sz w:val="22"/>
        </w:rPr>
        <w:t>Source: Stock performance decomposition data (snapshot July 21, 2026). NTM EV/EBITDA is the primary valuation metric for apartment REITs.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AVB/EQR merger of equals announcement (May 21, 2026) is the dominant development since Q1 earnings and will likely overshadow the operational print on the Q2 call; the RealPage settlement removed a meaningful legal overhang, and the shareholder meeting approval of all proposals was routine.</w:t>
      </w:r>
    </w:p>
    <w:p>
      <w:pPr>
        <w:pStyle w:val="ListBullet"/>
        <w:ind w:left="360" w:hanging="360"/>
      </w:pPr>
      <w:r>
        <w:rPr>
          <w:rFonts w:ascii="Calibri" w:hAnsi="Calibri"/>
          <w:b/>
          <w:color w:val="525866"/>
          <w:sz w:val="22"/>
        </w:rPr>
        <w:t>May 21, 2026 — AVB/EQR Merger of Equals Announced:</w:t>
      </w:r>
      <w:r>
        <w:rPr>
          <w:rFonts w:ascii="Calibri" w:hAnsi="Calibri"/>
          <w:color w:val="525866"/>
          <w:sz w:val="22"/>
        </w:rPr>
        <w:t xml:space="preserve"> AvalonBay Communities and Equity Residential announced a definitive all-stock merger of equals creating one of the largest U.S. apartment landlords with over 180,000 units. The combined entity is expected to have a $69 billion enterprise value. Transaction expected to close in H2 2026, subject to shareholder approval by both companies. </w:t>
      </w:r>
      <w:r>
        <w:rPr>
          <w:rFonts w:ascii="Calibri" w:hAnsi="Calibri"/>
          <w:b/>
          <w:color w:val="525866"/>
          <w:sz w:val="22"/>
        </w:rPr>
        <w:t>Implication:</w:t>
      </w:r>
      <w:r>
        <w:rPr>
          <w:rFonts w:ascii="Calibri" w:hAnsi="Calibri"/>
          <w:color w:val="525866"/>
          <w:sz w:val="22"/>
        </w:rPr>
        <w:t xml:space="preserve"> This is the single most important event since Q1 earnings. Management will face intense Q&amp;A on deal rationale, synergies, timeline, and whether standalone 2026 guidance remains operative. The merger premium and deal certainty will likely dominate the call, potentially overshadowing what may otherwise be a solid operational quarter. Source: AVB/EQR joint press release, May 21, 2026.</w:t>
      </w:r>
    </w:p>
    <w:p>
      <w:pPr>
        <w:pStyle w:val="ListBullet"/>
        <w:ind w:left="360" w:hanging="360"/>
      </w:pPr>
      <w:r>
        <w:rPr>
          <w:rFonts w:ascii="Calibri" w:hAnsi="Calibri"/>
          <w:b/>
          <w:color w:val="525866"/>
          <w:sz w:val="22"/>
        </w:rPr>
        <w:t>July 13, 2026 — Shareholder Alert / M&amp;A Legal Inquiry:</w:t>
      </w:r>
      <w:r>
        <w:rPr>
          <w:rFonts w:ascii="Calibri" w:hAnsi="Calibri"/>
          <w:color w:val="525866"/>
          <w:sz w:val="22"/>
        </w:rPr>
        <w:t xml:space="preserve"> A class action law firm launched a legal inquiry into the EQR/AVB merger. </w:t>
      </w:r>
      <w:r>
        <w:rPr>
          <w:rFonts w:ascii="Calibri" w:hAnsi="Calibri"/>
          <w:b/>
          <w:color w:val="525866"/>
          <w:sz w:val="22"/>
        </w:rPr>
        <w:t>Implication:</w:t>
      </w:r>
      <w:r>
        <w:rPr>
          <w:rFonts w:ascii="Calibri" w:hAnsi="Calibri"/>
          <w:color w:val="525866"/>
          <w:sz w:val="22"/>
        </w:rPr>
        <w:t xml:space="preserve"> Standard post-merger-announcement legal activity; unlikely to be material to the deal timeline but adds noise. Source: Press release, July 13, 2026.</w:t>
      </w:r>
    </w:p>
    <w:p>
      <w:pPr>
        <w:pStyle w:val="ListBullet"/>
        <w:ind w:left="360" w:hanging="360"/>
      </w:pPr>
      <w:r>
        <w:rPr>
          <w:rFonts w:ascii="Calibri" w:hAnsi="Calibri"/>
          <w:b/>
          <w:color w:val="525866"/>
          <w:sz w:val="22"/>
        </w:rPr>
        <w:t>June 22, 2026 — Annual Meeting — All Proposals Approved:</w:t>
      </w:r>
      <w:r>
        <w:rPr>
          <w:rFonts w:ascii="Calibri" w:hAnsi="Calibri"/>
          <w:color w:val="525866"/>
          <w:sz w:val="22"/>
        </w:rPr>
        <w:t xml:space="preserve"> EQR shareholders approved all proposals at the annual meeting. </w:t>
      </w:r>
      <w:r>
        <w:rPr>
          <w:rFonts w:ascii="Calibri" w:hAnsi="Calibri"/>
          <w:b/>
          <w:color w:val="525866"/>
          <w:sz w:val="22"/>
        </w:rPr>
        <w:t>Implication:</w:t>
      </w:r>
      <w:r>
        <w:rPr>
          <w:rFonts w:ascii="Calibri" w:hAnsi="Calibri"/>
          <w:color w:val="525866"/>
          <w:sz w:val="22"/>
        </w:rPr>
        <w:t xml:space="preserve"> Routine; no governance surprises. Source: EQR 8-K, June 22, 2026.</w:t>
      </w:r>
    </w:p>
    <w:p>
      <w:pPr>
        <w:pStyle w:val="ListBullet"/>
        <w:ind w:left="360" w:hanging="360"/>
      </w:pPr>
      <w:r>
        <w:rPr>
          <w:rFonts w:ascii="Calibri" w:hAnsi="Calibri"/>
          <w:b/>
          <w:color w:val="525866"/>
          <w:sz w:val="22"/>
        </w:rPr>
        <w:t>April 15, 2026 — RealPage Antitrust Settlement ($56M):</w:t>
      </w:r>
      <w:r>
        <w:rPr>
          <w:rFonts w:ascii="Calibri" w:hAnsi="Calibri"/>
          <w:color w:val="525866"/>
          <w:sz w:val="22"/>
        </w:rPr>
        <w:t xml:space="preserve"> EQR reached a $56 million settlement in the RealPage antitrust case. </w:t>
      </w:r>
      <w:r>
        <w:rPr>
          <w:rFonts w:ascii="Calibri" w:hAnsi="Calibri"/>
          <w:b/>
          <w:color w:val="525866"/>
          <w:sz w:val="22"/>
        </w:rPr>
        <w:t>Implication:</w:t>
      </w:r>
      <w:r>
        <w:rPr>
          <w:rFonts w:ascii="Calibri" w:hAnsi="Calibri"/>
          <w:color w:val="525866"/>
          <w:sz w:val="22"/>
        </w:rPr>
        <w:t xml:space="preserve"> Removes a significant legal overhang that had been a recurring investor concern. The settlement amount was within the range of market expectations and should not materially impact FFO guidance. Source: EQR 8-K, April 15, 2026.</w:t>
      </w:r>
    </w:p>
    <w:p>
      <w:pPr>
        <w:pStyle w:val="ListBullet"/>
        <w:ind w:left="360" w:hanging="360"/>
      </w:pPr>
      <w:r>
        <w:rPr>
          <w:rFonts w:ascii="Calibri" w:hAnsi="Calibri"/>
          <w:b/>
          <w:color w:val="525866"/>
          <w:sz w:val="22"/>
        </w:rPr>
        <w:t>Q1 2026 (April 28–29) — Share Repurchase Activity:</w:t>
      </w:r>
      <w:r>
        <w:rPr>
          <w:rFonts w:ascii="Calibri" w:hAnsi="Calibri"/>
          <w:color w:val="525866"/>
          <w:sz w:val="22"/>
        </w:rPr>
        <w:t xml:space="preserve"> EQR repurchased $220M of common shares in Q1 2026 at a weighted average price of $63.42/share, bringing total buybacks to ~$500M since August 2025. Management remains open to additional buybacks but noted dispositions are the preferred funding mechanism. </w:t>
      </w:r>
      <w:r>
        <w:rPr>
          <w:rFonts w:ascii="Calibri" w:hAnsi="Calibri"/>
          <w:b/>
          <w:color w:val="525866"/>
          <w:sz w:val="22"/>
        </w:rPr>
        <w:t>Implication:</w:t>
      </w:r>
      <w:r>
        <w:rPr>
          <w:rFonts w:ascii="Calibri" w:hAnsi="Calibri"/>
          <w:color w:val="525866"/>
          <w:sz w:val="22"/>
        </w:rPr>
        <w:t xml:space="preserve"> Buyback activity is now likely paused or redirected given the pending merger; investors will want clarity on capital allocation during the deal period. Source: EQR Q1 2026 Earnings Release.</w:t>
      </w:r>
    </w:p>
    <w:p>
      <w:pPr>
        <w:pStyle w:val="ListBullet"/>
        <w:ind w:left="360" w:hanging="360"/>
      </w:pPr>
      <w:r>
        <w:rPr>
          <w:rFonts w:ascii="Calibri" w:hAnsi="Calibri"/>
          <w:b/>
          <w:color w:val="525866"/>
          <w:sz w:val="22"/>
        </w:rPr>
        <w:t>Q1 2026 (April 28) — Dividend Increase:</w:t>
      </w:r>
      <w:r>
        <w:rPr>
          <w:rFonts w:ascii="Calibri" w:hAnsi="Calibri"/>
          <w:color w:val="525866"/>
          <w:sz w:val="22"/>
        </w:rPr>
        <w:t xml:space="preserve"> EQR increased its annual dividend to $2.81/share, a 1.4% increase over the 2025 annualized dividend. </w:t>
      </w:r>
      <w:r>
        <w:rPr>
          <w:rFonts w:ascii="Calibri" w:hAnsi="Calibri"/>
          <w:b/>
          <w:color w:val="525866"/>
          <w:sz w:val="22"/>
        </w:rPr>
        <w:t>Implication:</w:t>
      </w:r>
      <w:r>
        <w:rPr>
          <w:rFonts w:ascii="Calibri" w:hAnsi="Calibri"/>
          <w:color w:val="525866"/>
          <w:sz w:val="22"/>
        </w:rPr>
        <w:t xml:space="preserve"> Modest but signals management confidence in cash flow stability. Source: EQR Q1 2026 Earnings Release.</w:t>
      </w:r>
    </w:p>
    <w:p>
      <w:pPr>
        <w:pStyle w:val="ListBullet"/>
        <w:ind w:left="360" w:hanging="360"/>
      </w:pPr>
      <w:r>
        <w:rPr>
          <w:rFonts w:ascii="Calibri" w:hAnsi="Calibri"/>
          <w:b/>
          <w:color w:val="525866"/>
          <w:sz w:val="22"/>
        </w:rPr>
        <w:t>Q1 2026 (April 29) — Development Starts in Atlanta:</w:t>
      </w:r>
      <w:r>
        <w:rPr>
          <w:rFonts w:ascii="Calibri" w:hAnsi="Calibri"/>
          <w:color w:val="525866"/>
          <w:sz w:val="22"/>
        </w:rPr>
        <w:t xml:space="preserve"> EQR started two development deals in Atlanta (Canton, GA and Alpharetta), targeting ~6% cap rates vs. recent private market trades at 4.5%. </w:t>
      </w:r>
      <w:r>
        <w:rPr>
          <w:rFonts w:ascii="Calibri" w:hAnsi="Calibri"/>
          <w:b/>
          <w:color w:val="525866"/>
          <w:sz w:val="22"/>
        </w:rPr>
        <w:t>Implication:</w:t>
      </w:r>
      <w:r>
        <w:rPr>
          <w:rFonts w:ascii="Calibri" w:hAnsi="Calibri"/>
          <w:color w:val="525866"/>
          <w:sz w:val="22"/>
        </w:rPr>
        <w:t xml:space="preserve"> Demonstrates selective capital deployment at attractive spreads; development activity is likely to be paused or reassessed in the context of the merger. Source: EQR Q1 2026 Earnings Call transcript.</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All insider activity since Q1 earnings consists of routine equity compensation grants (transaction code “A” — awards/grants) to directors and one small grant to the Chief Accounting Officer. There are </w:t>
      </w:r>
      <w:r>
        <w:rPr>
          <w:rFonts w:ascii="Calibri" w:hAnsi="Calibri"/>
          <w:b/>
          <w:color w:val="525866"/>
          <w:sz w:val="22"/>
        </w:rPr>
        <w:t>no open-market purchases or discretionary sales</w:t>
      </w:r>
      <w:r>
        <w:rPr>
          <w:rFonts w:ascii="Calibri" w:hAnsi="Calibri"/>
          <w:color w:val="525866"/>
          <w:sz w:val="22"/>
        </w:rPr>
        <w:t xml:space="preserve"> to flag. The absence of any open-market buying or selling by senior executives (CEO, CFO, COO) is notable but not unusual in the context of a pending merger, where insiders are typically restricted from trading.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Units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Aman, Angela M.</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3,561 Restricted Units</w:t>
            </w:r>
          </w:p>
        </w:tc>
        <w:tc>
          <w:tcPr>
            <w:tcW w:type="dxa" w:w="1440"/>
          </w:tcPr>
          <w:p>
            <w:r>
              <w:rPr>
                <w:rFonts w:ascii="Calibri" w:hAnsi="Calibri"/>
                <w:sz w:val="22"/>
              </w:rPr>
              <w:t>Jun 18, 2026</w:t>
            </w:r>
          </w:p>
        </w:tc>
        <w:tc>
          <w:tcPr>
            <w:tcW w:type="dxa" w:w="1440"/>
          </w:tcPr>
          <w:p>
            <w:r>
              <w:rPr>
                <w:rFonts w:ascii="Calibri" w:hAnsi="Calibri"/>
                <w:sz w:val="22"/>
              </w:rPr>
              <w:t>Annual director compensation grant; 10b5-1 plan. Not a discretionary trade.</w:t>
            </w:r>
          </w:p>
        </w:tc>
      </w:tr>
      <w:tr>
        <w:tc>
          <w:tcPr>
            <w:tcW w:type="dxa" w:w="1440"/>
          </w:tcPr>
          <w:p>
            <w:r>
              <w:rPr>
                <w:rFonts w:ascii="Calibri" w:hAnsi="Calibri"/>
                <w:sz w:val="22"/>
              </w:rPr>
              <w:t>Carr, Chris</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3,561 Restricted Units</w:t>
            </w:r>
          </w:p>
        </w:tc>
        <w:tc>
          <w:tcPr>
            <w:tcW w:type="dxa" w:w="1440"/>
          </w:tcPr>
          <w:p>
            <w:r>
              <w:rPr>
                <w:rFonts w:ascii="Calibri" w:hAnsi="Calibri"/>
                <w:sz w:val="22"/>
              </w:rPr>
              <w:t>Jun 18, 2026</w:t>
            </w:r>
          </w:p>
        </w:tc>
        <w:tc>
          <w:tcPr>
            <w:tcW w:type="dxa" w:w="1440"/>
          </w:tcPr>
          <w:p>
            <w:r>
              <w:rPr>
                <w:rFonts w:ascii="Calibri" w:hAnsi="Calibri"/>
                <w:sz w:val="22"/>
              </w:rPr>
              <w:t>Annual director compensation grant; 10b5-1 plan. Not a discretionary trade.</w:t>
            </w:r>
          </w:p>
        </w:tc>
      </w:tr>
      <w:tr>
        <w:tc>
          <w:tcPr>
            <w:tcW w:type="dxa" w:w="1440"/>
          </w:tcPr>
          <w:p>
            <w:r>
              <w:rPr>
                <w:rFonts w:ascii="Calibri" w:hAnsi="Calibri"/>
                <w:sz w:val="22"/>
              </w:rPr>
              <w:t>Haben, Mary Kay</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3,276 Common Shares</w:t>
            </w:r>
          </w:p>
        </w:tc>
        <w:tc>
          <w:tcPr>
            <w:tcW w:type="dxa" w:w="1440"/>
          </w:tcPr>
          <w:p>
            <w:r>
              <w:rPr>
                <w:rFonts w:ascii="Calibri" w:hAnsi="Calibri"/>
                <w:sz w:val="22"/>
              </w:rPr>
              <w:t>Jun 18, 2026</w:t>
            </w:r>
          </w:p>
        </w:tc>
        <w:tc>
          <w:tcPr>
            <w:tcW w:type="dxa" w:w="1440"/>
          </w:tcPr>
          <w:p>
            <w:r>
              <w:rPr>
                <w:rFonts w:ascii="Calibri" w:hAnsi="Calibri"/>
                <w:sz w:val="22"/>
              </w:rPr>
              <w:t>Annual director compensation grant. Not a discretionary trade.</w:t>
            </w:r>
          </w:p>
        </w:tc>
      </w:tr>
      <w:tr>
        <w:tc>
          <w:tcPr>
            <w:tcW w:type="dxa" w:w="1440"/>
          </w:tcPr>
          <w:p>
            <w:r>
              <w:rPr>
                <w:rFonts w:ascii="Calibri" w:hAnsi="Calibri"/>
                <w:sz w:val="22"/>
              </w:rPr>
              <w:t>Hoff, Ann</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3,276 Common Shares</w:t>
            </w:r>
          </w:p>
        </w:tc>
        <w:tc>
          <w:tcPr>
            <w:tcW w:type="dxa" w:w="1440"/>
          </w:tcPr>
          <w:p>
            <w:r>
              <w:rPr>
                <w:rFonts w:ascii="Calibri" w:hAnsi="Calibri"/>
                <w:sz w:val="22"/>
              </w:rPr>
              <w:t>Jun 18, 2026</w:t>
            </w:r>
          </w:p>
        </w:tc>
        <w:tc>
          <w:tcPr>
            <w:tcW w:type="dxa" w:w="1440"/>
          </w:tcPr>
          <w:p>
            <w:r>
              <w:rPr>
                <w:rFonts w:ascii="Calibri" w:hAnsi="Calibri"/>
                <w:sz w:val="22"/>
              </w:rPr>
              <w:t>Annual director compensation grant. Not a discretionary trade.</w:t>
            </w:r>
          </w:p>
        </w:tc>
      </w:tr>
      <w:tr>
        <w:tc>
          <w:tcPr>
            <w:tcW w:type="dxa" w:w="1440"/>
          </w:tcPr>
          <w:p>
            <w:r>
              <w:rPr>
                <w:rFonts w:ascii="Calibri" w:hAnsi="Calibri"/>
                <w:sz w:val="22"/>
              </w:rPr>
              <w:t>Huque, Tahsinul Zia</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3,561 Restricted Units</w:t>
            </w:r>
          </w:p>
        </w:tc>
        <w:tc>
          <w:tcPr>
            <w:tcW w:type="dxa" w:w="1440"/>
          </w:tcPr>
          <w:p>
            <w:r>
              <w:rPr>
                <w:rFonts w:ascii="Calibri" w:hAnsi="Calibri"/>
                <w:sz w:val="22"/>
              </w:rPr>
              <w:t>Jun 18, 2026</w:t>
            </w:r>
          </w:p>
        </w:tc>
        <w:tc>
          <w:tcPr>
            <w:tcW w:type="dxa" w:w="1440"/>
          </w:tcPr>
          <w:p>
            <w:r>
              <w:rPr>
                <w:rFonts w:ascii="Calibri" w:hAnsi="Calibri"/>
                <w:sz w:val="22"/>
              </w:rPr>
              <w:t>Annual director compensation grant; 10b5-1 plan. Not a discretionary trade.</w:t>
            </w:r>
          </w:p>
        </w:tc>
      </w:tr>
      <w:tr>
        <w:tc>
          <w:tcPr>
            <w:tcW w:type="dxa" w:w="1440"/>
          </w:tcPr>
          <w:p>
            <w:r>
              <w:rPr>
                <w:rFonts w:ascii="Calibri" w:hAnsi="Calibri"/>
                <w:sz w:val="22"/>
              </w:rPr>
              <w:t>Jones, Nina P.</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3,276 Common Shares</w:t>
            </w:r>
          </w:p>
        </w:tc>
        <w:tc>
          <w:tcPr>
            <w:tcW w:type="dxa" w:w="1440"/>
          </w:tcPr>
          <w:p>
            <w:r>
              <w:rPr>
                <w:rFonts w:ascii="Calibri" w:hAnsi="Calibri"/>
                <w:sz w:val="22"/>
              </w:rPr>
              <w:t>Jun 18, 2026</w:t>
            </w:r>
          </w:p>
        </w:tc>
        <w:tc>
          <w:tcPr>
            <w:tcW w:type="dxa" w:w="1440"/>
          </w:tcPr>
          <w:p>
            <w:r>
              <w:rPr>
                <w:rFonts w:ascii="Calibri" w:hAnsi="Calibri"/>
                <w:sz w:val="22"/>
              </w:rPr>
              <w:t>Annual director compensation grant. Not a discretionary trade.</w:t>
            </w:r>
          </w:p>
        </w:tc>
      </w:tr>
      <w:tr>
        <w:tc>
          <w:tcPr>
            <w:tcW w:type="dxa" w:w="1440"/>
          </w:tcPr>
          <w:p>
            <w:r>
              <w:rPr>
                <w:rFonts w:ascii="Calibri" w:hAnsi="Calibri"/>
                <w:sz w:val="22"/>
              </w:rPr>
              <w:t>Neithercut, David J.</w:t>
            </w:r>
          </w:p>
        </w:tc>
        <w:tc>
          <w:tcPr>
            <w:tcW w:type="dxa" w:w="1440"/>
          </w:tcPr>
          <w:p>
            <w:r>
              <w:rPr>
                <w:rFonts w:ascii="Calibri" w:hAnsi="Calibri"/>
                <w:sz w:val="22"/>
              </w:rPr>
              <w:t>Chairman of the Board, Director</w:t>
            </w:r>
          </w:p>
        </w:tc>
        <w:tc>
          <w:tcPr>
            <w:tcW w:type="dxa" w:w="1440"/>
          </w:tcPr>
          <w:p>
            <w:r>
              <w:rPr>
                <w:rFonts w:ascii="Calibri" w:hAnsi="Calibri"/>
                <w:sz w:val="22"/>
              </w:rPr>
              <w:t>Equity Award (Grant)</w:t>
            </w:r>
          </w:p>
        </w:tc>
        <w:tc>
          <w:tcPr>
            <w:tcW w:type="dxa" w:w="1440"/>
          </w:tcPr>
          <w:p>
            <w:r>
              <w:rPr>
                <w:rFonts w:ascii="Calibri" w:hAnsi="Calibri"/>
                <w:sz w:val="22"/>
              </w:rPr>
              <w:t>50,997 Stock Options</w:t>
            </w:r>
          </w:p>
        </w:tc>
        <w:tc>
          <w:tcPr>
            <w:tcW w:type="dxa" w:w="1440"/>
          </w:tcPr>
          <w:p>
            <w:r>
              <w:rPr>
                <w:rFonts w:ascii="Calibri" w:hAnsi="Calibri"/>
                <w:sz w:val="22"/>
              </w:rPr>
              <w:t>Jun 18, 2026</w:t>
            </w:r>
          </w:p>
        </w:tc>
        <w:tc>
          <w:tcPr>
            <w:tcW w:type="dxa" w:w="1440"/>
          </w:tcPr>
          <w:p>
            <w:r>
              <w:rPr>
                <w:rFonts w:ascii="Calibri" w:hAnsi="Calibri"/>
                <w:sz w:val="22"/>
              </w:rPr>
              <w:t>Annual director compensation grant (options). Not a discretionary trade.</w:t>
            </w:r>
          </w:p>
        </w:tc>
      </w:tr>
      <w:tr>
        <w:tc>
          <w:tcPr>
            <w:tcW w:type="dxa" w:w="1440"/>
          </w:tcPr>
          <w:p>
            <w:r>
              <w:rPr>
                <w:rFonts w:ascii="Calibri" w:hAnsi="Calibri"/>
                <w:sz w:val="22"/>
              </w:rPr>
              <w:t>Shapiro, Mark S.</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3,561 Restricted Units</w:t>
            </w:r>
          </w:p>
        </w:tc>
        <w:tc>
          <w:tcPr>
            <w:tcW w:type="dxa" w:w="1440"/>
          </w:tcPr>
          <w:p>
            <w:r>
              <w:rPr>
                <w:rFonts w:ascii="Calibri" w:hAnsi="Calibri"/>
                <w:sz w:val="22"/>
              </w:rPr>
              <w:t>Jun 18, 2026</w:t>
            </w:r>
          </w:p>
        </w:tc>
        <w:tc>
          <w:tcPr>
            <w:tcW w:type="dxa" w:w="1440"/>
          </w:tcPr>
          <w:p>
            <w:r>
              <w:rPr>
                <w:rFonts w:ascii="Calibri" w:hAnsi="Calibri"/>
                <w:sz w:val="22"/>
              </w:rPr>
              <w:t>Annual director compensation grant; 10b5-1 plan. Not a discretionary trade.</w:t>
            </w:r>
          </w:p>
        </w:tc>
      </w:tr>
      <w:tr>
        <w:tc>
          <w:tcPr>
            <w:tcW w:type="dxa" w:w="1440"/>
          </w:tcPr>
          <w:p>
            <w:r>
              <w:rPr>
                <w:rFonts w:ascii="Calibri" w:hAnsi="Calibri"/>
                <w:sz w:val="22"/>
              </w:rPr>
              <w:t>Sterrett, Stephen E.</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3,276 Common Shares</w:t>
            </w:r>
          </w:p>
        </w:tc>
        <w:tc>
          <w:tcPr>
            <w:tcW w:type="dxa" w:w="1440"/>
          </w:tcPr>
          <w:p>
            <w:r>
              <w:rPr>
                <w:rFonts w:ascii="Calibri" w:hAnsi="Calibri"/>
                <w:sz w:val="22"/>
              </w:rPr>
              <w:t>Jun 18, 2026</w:t>
            </w:r>
          </w:p>
        </w:tc>
        <w:tc>
          <w:tcPr>
            <w:tcW w:type="dxa" w:w="1440"/>
          </w:tcPr>
          <w:p>
            <w:r>
              <w:rPr>
                <w:rFonts w:ascii="Calibri" w:hAnsi="Calibri"/>
                <w:sz w:val="22"/>
              </w:rPr>
              <w:t>Annual director compensation grant. Not a discretionary trade.</w:t>
            </w:r>
          </w:p>
        </w:tc>
      </w:tr>
      <w:tr>
        <w:tc>
          <w:tcPr>
            <w:tcW w:type="dxa" w:w="1440"/>
          </w:tcPr>
          <w:p>
            <w:r>
              <w:rPr>
                <w:rFonts w:ascii="Calibri" w:hAnsi="Calibri"/>
                <w:sz w:val="22"/>
              </w:rPr>
              <w:t>Kaufman, Ian</w:t>
            </w:r>
          </w:p>
        </w:tc>
        <w:tc>
          <w:tcPr>
            <w:tcW w:type="dxa" w:w="1440"/>
          </w:tcPr>
          <w:p>
            <w:r>
              <w:rPr>
                <w:rFonts w:ascii="Calibri" w:hAnsi="Calibri"/>
                <w:sz w:val="22"/>
              </w:rPr>
              <w:t>Chief Accounting Officer</w:t>
            </w:r>
          </w:p>
        </w:tc>
        <w:tc>
          <w:tcPr>
            <w:tcW w:type="dxa" w:w="1440"/>
          </w:tcPr>
          <w:p>
            <w:r>
              <w:rPr>
                <w:rFonts w:ascii="Calibri" w:hAnsi="Calibri"/>
                <w:sz w:val="22"/>
              </w:rPr>
              <w:t>Equity Award (Grant)</w:t>
            </w:r>
          </w:p>
        </w:tc>
        <w:tc>
          <w:tcPr>
            <w:tcW w:type="dxa" w:w="1440"/>
          </w:tcPr>
          <w:p>
            <w:r>
              <w:rPr>
                <w:rFonts w:ascii="Calibri" w:hAnsi="Calibri"/>
                <w:sz w:val="22"/>
              </w:rPr>
              <w:t>32 Common Shares</w:t>
            </w:r>
          </w:p>
        </w:tc>
        <w:tc>
          <w:tcPr>
            <w:tcW w:type="dxa" w:w="1440"/>
          </w:tcPr>
          <w:p>
            <w:r>
              <w:rPr>
                <w:rFonts w:ascii="Calibri" w:hAnsi="Calibri"/>
                <w:sz w:val="22"/>
              </w:rPr>
              <w:t>May 14, 2026</w:t>
            </w:r>
          </w:p>
        </w:tc>
        <w:tc>
          <w:tcPr>
            <w:tcW w:type="dxa" w:w="1440"/>
          </w:tcPr>
          <w:p>
            <w:r>
              <w:rPr>
                <w:rFonts w:ascii="Calibri" w:hAnsi="Calibri"/>
                <w:sz w:val="22"/>
              </w:rPr>
              <w:t>Small compensation-related grant. Not a discretionary trade.</w:t>
            </w:r>
          </w:p>
        </w:tc>
      </w:tr>
    </w:tbl>
    <w:p>
      <w:r>
        <w:rPr>
          <w:rFonts w:ascii="Calibri" w:hAnsi="Calibri"/>
          <w:i/>
          <w:color w:val="525866"/>
          <w:sz w:val="22"/>
        </w:rPr>
        <w:t>All transactions are equity compensation awards (SEC code “A” — Acquisition via grant/award), not open-market purchases or sales. No discretionary open-market buys or sells were filed in the period. The absence of executive-level open-market activity is consistent with merger-related trading restrictions. Source: SEC Form 4 filings, May–June 2026.</w:t>
      </w:r>
    </w:p>
    <w:p>
      <w:r>
        <w:br w:type="page"/>
      </w:r>
    </w:p>
    <w:p>
      <w:pPr>
        <w:pStyle w:val="Heading2"/>
      </w:pPr>
      <w:r>
        <w:rPr>
          <w:rFonts w:ascii="Calibri" w:hAnsi="Calibri"/>
          <w:b/>
          <w:color w:val="3B4259"/>
          <w:sz w:val="28"/>
        </w:rPr>
        <w:t>8. Peer Commentary &amp; Read-Through</w:t>
      </w:r>
    </w:p>
    <w:p>
      <w:r>
        <w:rPr>
          <w:rFonts w:ascii="Calibri" w:hAnsi="Calibri"/>
          <w:b/>
          <w:color w:val="525866"/>
          <w:sz w:val="22"/>
        </w:rPr>
        <w:t xml:space="preserve">Key Takeaway: </w:t>
      </w:r>
      <w:r>
        <w:rPr>
          <w:rFonts w:ascii="Calibri" w:hAnsi="Calibri"/>
          <w:color w:val="525866"/>
          <w:sz w:val="22"/>
        </w:rPr>
        <w:t xml:space="preserve">Peer commentary from May–July 2026 is uniformly constructive for EQR's Q2 setup: Essex (West Coast) reported blended rates accelerating to 3.7% in May and is tracking ahead of guidance; Camden confirmed Q2 trends are in line with expectations; MAA (Sunbelt) reported blended rates up 140 bps in May from Q1 with new lease rates at a near-two-year high. The read-through is </w:t>
      </w:r>
      <w:r>
        <w:rPr>
          <w:rFonts w:ascii="Calibri" w:hAnsi="Calibri"/>
          <w:b/>
          <w:color w:val="30A46C"/>
          <w:sz w:val="22"/>
        </w:rPr>
        <w:t>positive</w:t>
      </w:r>
      <w:r>
        <w:rPr>
          <w:rFonts w:ascii="Calibri" w:hAnsi="Calibri"/>
          <w:color w:val="525866"/>
          <w:sz w:val="22"/>
        </w:rPr>
        <w:t xml:space="preserve"> — the leasing season is executing as expected or better across the sector, and supply tailwinds are materializing.</w:t>
      </w:r>
    </w:p>
    <w:p>
      <w:r>
        <w:rPr>
          <w:rFonts w:ascii="Calibri" w:hAnsi="Calibri"/>
          <w:i/>
          <w:color w:val="525866"/>
          <w:sz w:val="22"/>
        </w:rPr>
        <w:t>Note: Only commentary explicitly discussing Q2 2026 / current-quarter conditions or forward outlook is included below. Retrospective Q1 2025 or Q1 2026 results commentary from peers is excluded.</w:t>
      </w:r>
    </w:p>
    <w:p>
      <w:pPr>
        <w:pStyle w:val="Heading3"/>
      </w:pPr>
      <w:r>
        <w:rPr>
          <w:rFonts w:ascii="Calibri" w:hAnsi="Calibri"/>
          <w:b/>
          <w:color w:val="3B4259"/>
          <w:sz w:val="24"/>
        </w:rPr>
        <w:t>Essex Property Trust (ESS) — Nareit REITweek Conference, June 3, 2026</w:t>
      </w:r>
    </w:p>
    <w:p>
      <w:r>
        <w:rPr>
          <w:rFonts w:ascii="Calibri" w:hAnsi="Calibri"/>
          <w:b/>
          <w:color w:val="525866"/>
          <w:sz w:val="22"/>
        </w:rPr>
        <w:t xml:space="preserve">Relevance to EQR: </w:t>
      </w:r>
      <w:r>
        <w:rPr>
          <w:rFonts w:ascii="Calibri" w:hAnsi="Calibri"/>
          <w:color w:val="525866"/>
          <w:sz w:val="22"/>
        </w:rPr>
        <w:t>ESS is EQR's closest West Coast peer (San Francisco, Seattle, Los Angeles) — markets that collectively represent EQR's highest-NOI concentration. ESS commentary is the most direct read-through for EQR's coastal portfolio.</w:t>
      </w:r>
    </w:p>
    <w:p>
      <w:pPr>
        <w:pStyle w:val="ListBullet"/>
        <w:ind w:left="360" w:hanging="360"/>
      </w:pPr>
      <w:r>
        <w:rPr>
          <w:rFonts w:ascii="Calibri" w:hAnsi="Calibri"/>
          <w:b/>
          <w:color w:val="525866"/>
          <w:sz w:val="22"/>
        </w:rPr>
        <w:t>Blended rates accelerating sharply into Q2:</w:t>
      </w:r>
      <w:r>
        <w:rPr>
          <w:rFonts w:ascii="Calibri" w:hAnsi="Calibri"/>
          <w:color w:val="525866"/>
          <w:sz w:val="22"/>
        </w:rPr>
        <w:t xml:space="preserve"> ESS reported blended lease rate growth of </w:t>
      </w:r>
      <w:r>
        <w:rPr>
          <w:rFonts w:ascii="Calibri" w:hAnsi="Calibri"/>
          <w:b/>
          <w:color w:val="525866"/>
          <w:sz w:val="22"/>
        </w:rPr>
        <w:t>1.4% in Q1, accelerating to 3.1% in April and 3.7% in May 2026</w:t>
      </w:r>
      <w:r>
        <w:rPr>
          <w:rFonts w:ascii="Calibri" w:hAnsi="Calibri"/>
          <w:color w:val="525866"/>
          <w:sz w:val="22"/>
        </w:rPr>
        <w:t xml:space="preserve">. Management stated they have "flipped" to pushing rents for the majority of markets in Q2, stepping back on occupancy. Momentum is "continuing." </w:t>
      </w:r>
      <w:r>
        <w:rPr>
          <w:rFonts w:ascii="Calibri" w:hAnsi="Calibri"/>
          <w:b/>
          <w:color w:val="525866"/>
          <w:sz w:val="22"/>
        </w:rPr>
        <w:t>EQR read-through:</w:t>
      </w:r>
      <w:r>
        <w:rPr>
          <w:rFonts w:ascii="Calibri" w:hAnsi="Calibri"/>
          <w:color w:val="525866"/>
          <w:sz w:val="22"/>
        </w:rPr>
        <w:t xml:space="preserve"> EQR's April blended rate of 3.0% is consistent with this trajectory; ESS's May acceleration to 3.7% suggests EQR's May/June blended rates may have continued to build, supporting a Q2 blended rate above the ~3.0% consensus estimate.</w:t>
      </w:r>
    </w:p>
    <w:p>
      <w:pPr>
        <w:pStyle w:val="ListBullet"/>
        <w:ind w:left="360" w:hanging="360"/>
      </w:pPr>
      <w:r>
        <w:rPr>
          <w:rFonts w:ascii="Calibri" w:hAnsi="Calibri"/>
          <w:b/>
          <w:color w:val="525866"/>
          <w:sz w:val="22"/>
        </w:rPr>
        <w:t>Tracking ahead of guidance:</w:t>
      </w:r>
      <w:r>
        <w:rPr>
          <w:rFonts w:ascii="Calibri" w:hAnsi="Calibri"/>
          <w:color w:val="525866"/>
          <w:sz w:val="22"/>
        </w:rPr>
        <w:t xml:space="preserve"> ESS stated it is "trending ahead of our guidance" and plans to "revisit how we're going to guide the Street" after Q2 numbers. </w:t>
      </w:r>
      <w:r>
        <w:rPr>
          <w:rFonts w:ascii="Calibri" w:hAnsi="Calibri"/>
          <w:b/>
          <w:color w:val="525866"/>
          <w:sz w:val="22"/>
        </w:rPr>
        <w:t>EQR read-through:</w:t>
      </w:r>
      <w:r>
        <w:rPr>
          <w:rFonts w:ascii="Calibri" w:hAnsi="Calibri"/>
          <w:color w:val="525866"/>
          <w:sz w:val="22"/>
        </w:rPr>
        <w:t xml:space="preserve"> If ESS is tracking above its own guidance, EQR — with similar coastal exposure — may also be positioned to beat or raise.</w:t>
      </w:r>
    </w:p>
    <w:p>
      <w:pPr>
        <w:pStyle w:val="ListBullet"/>
        <w:ind w:left="360" w:hanging="360"/>
      </w:pPr>
      <w:r>
        <w:rPr>
          <w:rFonts w:ascii="Calibri" w:hAnsi="Calibri"/>
          <w:b/>
          <w:color w:val="525866"/>
          <w:sz w:val="22"/>
        </w:rPr>
        <w:t>San Francisco — AI-driven demand boom:</w:t>
      </w:r>
      <w:r>
        <w:rPr>
          <w:rFonts w:ascii="Calibri" w:hAnsi="Calibri"/>
          <w:color w:val="525866"/>
          <w:sz w:val="22"/>
        </w:rPr>
        <w:t xml:space="preserve"> ESS described Northern California as a "recovery story" with rents still ~10% above pre-COVID levels and "a lot of runway" to reach the potential 20% above pre-COVID. AI job postings are "up year-to-date relative to 2025," top-20 tech job postings are at "the '16–'19 level" (healthy), and net domestic in-migration has turned </w:t>
      </w:r>
      <w:r>
        <w:rPr>
          <w:rFonts w:ascii="Calibri" w:hAnsi="Calibri"/>
          <w:b/>
          <w:color w:val="525866"/>
          <w:sz w:val="22"/>
        </w:rPr>
        <w:t>positive for the first time in decades</w:t>
      </w:r>
      <w:r>
        <w:rPr>
          <w:rFonts w:ascii="Calibri" w:hAnsi="Calibri"/>
          <w:color w:val="525866"/>
          <w:sz w:val="22"/>
        </w:rPr>
        <w:t xml:space="preserve"> in the Bay Area. </w:t>
      </w:r>
      <w:r>
        <w:rPr>
          <w:rFonts w:ascii="Calibri" w:hAnsi="Calibri"/>
          <w:b/>
          <w:color w:val="525866"/>
          <w:sz w:val="22"/>
        </w:rPr>
        <w:t>EQR read-through:</w:t>
      </w:r>
      <w:r>
        <w:rPr>
          <w:rFonts w:ascii="Calibri" w:hAnsi="Calibri"/>
          <w:color w:val="525866"/>
          <w:sz w:val="22"/>
        </w:rPr>
        <w:t xml:space="preserve"> EQR derives ~22% of NOI from San Francisco downtown alone, and management called SF its best-performing market in Q1. ESS's data confirms the AI demand tailwind is real and broadening.</w:t>
      </w:r>
    </w:p>
    <w:p>
      <w:pPr>
        <w:pStyle w:val="ListBullet"/>
        <w:ind w:left="360" w:hanging="360"/>
      </w:pPr>
      <w:r>
        <w:rPr>
          <w:rFonts w:ascii="Calibri" w:hAnsi="Calibri"/>
          <w:b/>
          <w:color w:val="525866"/>
          <w:sz w:val="22"/>
        </w:rPr>
        <w:t>Seattle — lease rates turned positive:</w:t>
      </w:r>
      <w:r>
        <w:rPr>
          <w:rFonts w:ascii="Calibri" w:hAnsi="Calibri"/>
          <w:color w:val="525866"/>
          <w:sz w:val="22"/>
        </w:rPr>
        <w:t xml:space="preserve"> ESS reported Seattle lease rates "turned positive in March" and have improved every month since, now "slightly ahead of expectations." Supply is projected to be lower by ~25% in 2026 and "quite a bit lower" in 2027. </w:t>
      </w:r>
      <w:r>
        <w:rPr>
          <w:rFonts w:ascii="Calibri" w:hAnsi="Calibri"/>
          <w:b/>
          <w:color w:val="525866"/>
          <w:sz w:val="22"/>
        </w:rPr>
        <w:t>EQR read-through:</w:t>
      </w:r>
      <w:r>
        <w:rPr>
          <w:rFonts w:ascii="Calibri" w:hAnsi="Calibri"/>
          <w:color w:val="525866"/>
          <w:sz w:val="22"/>
        </w:rPr>
        <w:t xml:space="preserve"> EQR flagged Seattle as a laggard in Q1; ESS's data suggests the market is recovering faster than feared, which could be a positive surprise for EQR's Seattle portfolio in Q2.</w:t>
      </w:r>
    </w:p>
    <w:p>
      <w:pPr>
        <w:pStyle w:val="ListBullet"/>
        <w:ind w:left="360" w:hanging="360"/>
      </w:pPr>
      <w:r>
        <w:rPr>
          <w:rFonts w:ascii="Calibri" w:hAnsi="Calibri"/>
          <w:b/>
          <w:color w:val="525866"/>
          <w:sz w:val="22"/>
        </w:rPr>
        <w:t>Los Angeles — stable, nearing pricing power:</w:t>
      </w:r>
      <w:r>
        <w:rPr>
          <w:rFonts w:ascii="Calibri" w:hAnsi="Calibri"/>
          <w:color w:val="525866"/>
          <w:sz w:val="22"/>
        </w:rPr>
        <w:t xml:space="preserve"> ESS described L.A. as "very close to a point where we're going to actually have pricing power," with economic occupancy improving from 92.5% to 94.5% over two years and supply starting to come down. However, "no clear catalyst to point to that this is going to turn this year." </w:t>
      </w:r>
      <w:r>
        <w:rPr>
          <w:rFonts w:ascii="Calibri" w:hAnsi="Calibri"/>
          <w:b/>
          <w:color w:val="525866"/>
          <w:sz w:val="22"/>
        </w:rPr>
        <w:t>EQR read-through:</w:t>
      </w:r>
      <w:r>
        <w:rPr>
          <w:rFonts w:ascii="Calibri" w:hAnsi="Calibri"/>
          <w:color w:val="525866"/>
          <w:sz w:val="22"/>
        </w:rPr>
        <w:t xml:space="preserve"> Consistent with EQR management's cautious-but-improving tone on L.A. No near-term upside surprise expected from this market.</w:t>
      </w:r>
    </w:p>
    <w:p>
      <w:pPr>
        <w:pStyle w:val="ListBullet"/>
        <w:ind w:left="360" w:hanging="360"/>
      </w:pPr>
      <w:r>
        <w:rPr>
          <w:rFonts w:ascii="Calibri" w:hAnsi="Calibri"/>
          <w:b/>
          <w:color w:val="525866"/>
          <w:sz w:val="22"/>
        </w:rPr>
        <w:t>West Coast supply at historical lows:</w:t>
      </w:r>
      <w:r>
        <w:rPr>
          <w:rFonts w:ascii="Calibri" w:hAnsi="Calibri"/>
          <w:color w:val="525866"/>
          <w:sz w:val="22"/>
        </w:rPr>
        <w:t xml:space="preserve"> ESS noted West Coast supply is at "about 40 basis points of total supply right now" vs. a normal ~70 bps — a "historical low." This provides a "very safe basis" and means "we don't need a lot of job growth to drive demand and to have stable rent growth." </w:t>
      </w:r>
      <w:r>
        <w:rPr>
          <w:rFonts w:ascii="Calibri" w:hAnsi="Calibri"/>
          <w:b/>
          <w:color w:val="525866"/>
          <w:sz w:val="22"/>
        </w:rPr>
        <w:t>EQR read-through:</w:t>
      </w:r>
      <w:r>
        <w:rPr>
          <w:rFonts w:ascii="Calibri" w:hAnsi="Calibri"/>
          <w:color w:val="525866"/>
          <w:sz w:val="22"/>
        </w:rPr>
        <w:t xml:space="preserve"> Directly validates EQR's core thesis that supply tailwinds are the primary driver of 2026 performance improvement.</w:t>
      </w:r>
    </w:p>
    <w:p>
      <w:pPr>
        <w:pStyle w:val="Heading3"/>
      </w:pPr>
      <w:r>
        <w:rPr>
          <w:rFonts w:ascii="Calibri" w:hAnsi="Calibri"/>
          <w:b/>
          <w:color w:val="3B4259"/>
          <w:sz w:val="24"/>
        </w:rPr>
        <w:t>Camden Property Trust (CPT) — Nareit REITweek Operating Update, June 1, 2026</w:t>
      </w:r>
    </w:p>
    <w:p>
      <w:r>
        <w:rPr>
          <w:rFonts w:ascii="Calibri" w:hAnsi="Calibri"/>
          <w:b/>
          <w:color w:val="525866"/>
          <w:sz w:val="22"/>
        </w:rPr>
        <w:t xml:space="preserve">Relevance to EQR: </w:t>
      </w:r>
      <w:r>
        <w:rPr>
          <w:rFonts w:ascii="Calibri" w:hAnsi="Calibri"/>
          <w:color w:val="525866"/>
          <w:sz w:val="22"/>
        </w:rPr>
        <w:t>CPT operates across both coastal and Sunbelt markets and provided a rare mid-quarter operating update at Nareit, making it a timely read-through on sector-wide Q2 conditions.</w:t>
      </w:r>
    </w:p>
    <w:p>
      <w:pPr>
        <w:pStyle w:val="ListBullet"/>
        <w:ind w:left="360" w:hanging="360"/>
      </w:pPr>
      <w:r>
        <w:rPr>
          <w:rFonts w:ascii="Calibri" w:hAnsi="Calibri"/>
          <w:b/>
          <w:color w:val="525866"/>
          <w:sz w:val="22"/>
        </w:rPr>
        <w:t>Q2 2026 operating trends in line with guidance:</w:t>
      </w:r>
      <w:r>
        <w:rPr>
          <w:rFonts w:ascii="Calibri" w:hAnsi="Calibri"/>
          <w:color w:val="525866"/>
          <w:sz w:val="22"/>
        </w:rPr>
        <w:t xml:space="preserve"> Camden explicitly stated that its "second quarter 2026 operating trends" are "in line with guidance and expectations provided in conjunction with its first quarter 2026 earnings release." </w:t>
      </w:r>
      <w:r>
        <w:rPr>
          <w:rFonts w:ascii="Calibri" w:hAnsi="Calibri"/>
          <w:b/>
          <w:color w:val="525866"/>
          <w:sz w:val="22"/>
        </w:rPr>
        <w:t>EQR read-through:</w:t>
      </w:r>
      <w:r>
        <w:rPr>
          <w:rFonts w:ascii="Calibri" w:hAnsi="Calibri"/>
          <w:color w:val="525866"/>
          <w:sz w:val="22"/>
        </w:rPr>
        <w:t xml:space="preserve"> A clean "in line" update from a major peer at the midpoint of Q2 is a positive signal for sector-wide execution. It suggests no unexpected demand deterioration or expense blowout through early June. Source: CPT press release, June 1, 2026.</w:t>
      </w:r>
    </w:p>
    <w:p>
      <w:pPr>
        <w:pStyle w:val="Heading3"/>
      </w:pPr>
      <w:r>
        <w:rPr>
          <w:rFonts w:ascii="Calibri" w:hAnsi="Calibri"/>
          <w:b/>
          <w:color w:val="3B4259"/>
          <w:sz w:val="24"/>
        </w:rPr>
        <w:t>Mid-America Apartment Communities (MAA) — Nareit REITweek Conference, June 3, 2026</w:t>
      </w:r>
    </w:p>
    <w:p>
      <w:r>
        <w:rPr>
          <w:rFonts w:ascii="Calibri" w:hAnsi="Calibri"/>
          <w:b/>
          <w:color w:val="525866"/>
          <w:sz w:val="22"/>
        </w:rPr>
        <w:t xml:space="preserve">Relevance to EQR: </w:t>
      </w:r>
      <w:r>
        <w:rPr>
          <w:rFonts w:ascii="Calibri" w:hAnsi="Calibri"/>
          <w:color w:val="525866"/>
          <w:sz w:val="22"/>
        </w:rPr>
        <w:t>MAA is the largest Sunbelt apartment REIT and a useful read-through on national leasing season momentum, demand dynamics, and supply trends. While MAA's markets differ from EQR's coastal focus, MAA's commentary on leasing velocity and resident health is broadly applicable.</w:t>
      </w:r>
    </w:p>
    <w:p>
      <w:pPr>
        <w:pStyle w:val="ListBullet"/>
        <w:ind w:left="360" w:hanging="360"/>
      </w:pPr>
      <w:r>
        <w:rPr>
          <w:rFonts w:ascii="Calibri" w:hAnsi="Calibri"/>
          <w:b/>
          <w:color w:val="525866"/>
          <w:sz w:val="22"/>
        </w:rPr>
        <w:t>Blended rates up 140 bps in May from Q1; new lease rates at near-two-year high:</w:t>
      </w:r>
      <w:r>
        <w:rPr>
          <w:rFonts w:ascii="Calibri" w:hAnsi="Calibri"/>
          <w:color w:val="525866"/>
          <w:sz w:val="22"/>
        </w:rPr>
        <w:t xml:space="preserve"> MAA reported blended lease-over-lease rates "up about 140 basis points in May from the first quarter," with new lease rates "up 240 basis points in May from the first quarter." The actual dollar amount of average blended lease pricing in May was "the highest that we've seen in almost 2 years." Management expects this momentum "to continue to build" through June, July, and August. </w:t>
      </w:r>
      <w:r>
        <w:rPr>
          <w:rFonts w:ascii="Calibri" w:hAnsi="Calibri"/>
          <w:b/>
          <w:color w:val="525866"/>
          <w:sz w:val="22"/>
        </w:rPr>
        <w:t>EQR read-through:</w:t>
      </w:r>
      <w:r>
        <w:rPr>
          <w:rFonts w:ascii="Calibri" w:hAnsi="Calibri"/>
          <w:color w:val="525866"/>
          <w:sz w:val="22"/>
        </w:rPr>
        <w:t xml:space="preserve"> While MAA's Sunbelt markets are different from EQR's coastal markets, the acceleration in new lease rates is a positive macro signal for the leasing season broadly. EQR's April new lease change of −1.1% was expected to build sequentially toward flat — MAA's data supports that the leasing environment is improving.</w:t>
      </w:r>
    </w:p>
    <w:p>
      <w:pPr>
        <w:pStyle w:val="ListBullet"/>
        <w:ind w:left="360" w:hanging="360"/>
      </w:pPr>
      <w:r>
        <w:rPr>
          <w:rFonts w:ascii="Calibri" w:hAnsi="Calibri"/>
          <w:b/>
          <w:color w:val="525866"/>
          <w:sz w:val="22"/>
        </w:rPr>
        <w:t>Supply down 40% YoY in Sunbelt; new starts at multi-year lows:</w:t>
      </w:r>
      <w:r>
        <w:rPr>
          <w:rFonts w:ascii="Calibri" w:hAnsi="Calibri"/>
          <w:color w:val="525866"/>
          <w:sz w:val="22"/>
        </w:rPr>
        <w:t xml:space="preserve"> MAA reported supply in its markets is "down about 40% from last year, and it's down 60% from 2 years ago," with trailing 12-month starts at "about 2% of inventory" — below long-term averages for three consecutive years. </w:t>
      </w:r>
      <w:r>
        <w:rPr>
          <w:rFonts w:ascii="Calibri" w:hAnsi="Calibri"/>
          <w:b/>
          <w:color w:val="525866"/>
          <w:sz w:val="22"/>
        </w:rPr>
        <w:t>EQR read-through:</w:t>
      </w:r>
      <w:r>
        <w:rPr>
          <w:rFonts w:ascii="Calibri" w:hAnsi="Calibri"/>
          <w:color w:val="525866"/>
          <w:sz w:val="22"/>
        </w:rPr>
        <w:t xml:space="preserve"> EQR's coastal markets are seeing even sharper supply declines (35% YoY per management). The Sunbelt supply normalization is a positive for the sector and reduces the risk of demand migration from coastal to Sunbelt markets.</w:t>
      </w:r>
    </w:p>
    <w:p>
      <w:pPr>
        <w:pStyle w:val="ListBullet"/>
        <w:ind w:left="360" w:hanging="360"/>
      </w:pPr>
      <w:r>
        <w:rPr>
          <w:rFonts w:ascii="Calibri" w:hAnsi="Calibri"/>
          <w:b/>
          <w:color w:val="525866"/>
          <w:sz w:val="22"/>
        </w:rPr>
        <w:t>Resident health remains strong; rent-to-income at 20%:</w:t>
      </w:r>
      <w:r>
        <w:rPr>
          <w:rFonts w:ascii="Calibri" w:hAnsi="Calibri"/>
          <w:color w:val="525866"/>
          <w:sz w:val="22"/>
        </w:rPr>
        <w:t xml:space="preserve"> MAA's residents have rent-to-income ratios of ~20% (down ~200 bps over two years), collections above 99%, and delinquency under 30 bps. </w:t>
      </w:r>
      <w:r>
        <w:rPr>
          <w:rFonts w:ascii="Calibri" w:hAnsi="Calibri"/>
          <w:b/>
          <w:color w:val="525866"/>
          <w:sz w:val="22"/>
        </w:rPr>
        <w:t>EQR read-through:</w:t>
      </w:r>
      <w:r>
        <w:rPr>
          <w:rFonts w:ascii="Calibri" w:hAnsi="Calibri"/>
          <w:color w:val="525866"/>
          <w:sz w:val="22"/>
        </w:rPr>
        <w:t xml:space="preserve"> EQR's Q1 rent-to-income fell to 19% — consistent with MAA's data. Strong resident financial health across the sector reduces bad debt risk and supports renewal rate execution.</w:t>
      </w:r>
    </w:p>
    <w:p>
      <w:pPr>
        <w:pStyle w:val="ListBullet"/>
        <w:ind w:left="360" w:hanging="360"/>
      </w:pPr>
      <w:r>
        <w:rPr>
          <w:rFonts w:ascii="Calibri" w:hAnsi="Calibri"/>
          <w:b/>
          <w:color w:val="525866"/>
          <w:sz w:val="22"/>
        </w:rPr>
        <w:t>Leasing season momentum building; pushing rents in May:</w:t>
      </w:r>
      <w:r>
        <w:rPr>
          <w:rFonts w:ascii="Calibri" w:hAnsi="Calibri"/>
          <w:color w:val="525866"/>
          <w:sz w:val="22"/>
        </w:rPr>
        <w:t xml:space="preserve"> MAA stated it is "pushing on rents" in May 2026 (vs. using concessions at the same time last year), with "traction in getting those improving rents." CEO expressed heightened optimism: "Yes, definitely more so" when asked about recovery confidence given supply declines. </w:t>
      </w:r>
      <w:r>
        <w:rPr>
          <w:rFonts w:ascii="Calibri" w:hAnsi="Calibri"/>
          <w:b/>
          <w:color w:val="525866"/>
          <w:sz w:val="22"/>
        </w:rPr>
        <w:t>EQR read-through:</w:t>
      </w:r>
      <w:r>
        <w:rPr>
          <w:rFonts w:ascii="Calibri" w:hAnsi="Calibri"/>
          <w:color w:val="525866"/>
          <w:sz w:val="22"/>
        </w:rPr>
        <w:t xml:space="preserve"> The shift from concession-led to rent-led leasing is exactly the dynamic EQR management described for its coastal markets. MAA's confirmation that this is happening in the Sunbelt as well suggests a broad-based sector improvement.</w:t>
      </w:r>
    </w:p>
    <w:p>
      <w:pPr>
        <w:pStyle w:val="ListBullet"/>
        <w:ind w:left="360" w:hanging="360"/>
      </w:pPr>
      <w:r>
        <w:rPr>
          <w:rFonts w:ascii="Calibri" w:hAnsi="Calibri"/>
          <w:b/>
          <w:color w:val="525866"/>
          <w:sz w:val="22"/>
        </w:rPr>
        <w:t>Job relocations to Sunbelt — potential coastal headwind:</w:t>
      </w:r>
      <w:r>
        <w:rPr>
          <w:rFonts w:ascii="Calibri" w:hAnsi="Calibri"/>
          <w:color w:val="525866"/>
          <w:sz w:val="22"/>
        </w:rPr>
        <w:t xml:space="preserve"> MAA cited job relocations to its markets as a demand driver, including Starbucks (2,000 jobs to Nashville), Goldman Sachs (more jobs to Dallas), and JPMorgan (to Charlotte). </w:t>
      </w:r>
      <w:r>
        <w:rPr>
          <w:rFonts w:ascii="Calibri" w:hAnsi="Calibri"/>
          <w:b/>
          <w:color w:val="525866"/>
          <w:sz w:val="22"/>
        </w:rPr>
        <w:t>EQR read-through:</w:t>
      </w:r>
      <w:r>
        <w:rPr>
          <w:rFonts w:ascii="Calibri" w:hAnsi="Calibri"/>
          <w:color w:val="525866"/>
          <w:sz w:val="22"/>
        </w:rPr>
        <w:t xml:space="preserve"> This is a mild negative read-through for EQR's D.C. and coastal markets, as some job relocations are explicitly moving out of Washington. However, the scale is modest relative to EQR's overall demand base.</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Source / Date</w:t>
            </w:r>
          </w:p>
        </w:tc>
        <w:tc>
          <w:tcPr>
            <w:tcW w:type="dxa" w:w="1728"/>
            <w:shd w:val="clear" w:color="auto" w:fill="3B4259"/>
          </w:tcPr>
          <w:p>
            <w:r>
              <w:rPr>
                <w:rFonts w:ascii="Calibri" w:hAnsi="Calibri"/>
                <w:b/>
                <w:color w:val="FFFFFF"/>
                <w:sz w:val="22"/>
              </w:rPr>
              <w:t>Key Q2 2026 Data Point</w:t>
            </w:r>
          </w:p>
        </w:tc>
        <w:tc>
          <w:tcPr>
            <w:tcW w:type="dxa" w:w="1728"/>
            <w:shd w:val="clear" w:color="auto" w:fill="3B4259"/>
          </w:tcPr>
          <w:p>
            <w:r>
              <w:rPr>
                <w:rFonts w:ascii="Calibri" w:hAnsi="Calibri"/>
                <w:b/>
                <w:color w:val="FFFFFF"/>
                <w:sz w:val="22"/>
              </w:rPr>
              <w:t>EQR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ESS</w:t>
            </w:r>
          </w:p>
        </w:tc>
        <w:tc>
          <w:tcPr>
            <w:tcW w:type="dxa" w:w="1728"/>
          </w:tcPr>
          <w:p>
            <w:r>
              <w:rPr>
                <w:rFonts w:ascii="Calibri" w:hAnsi="Calibri"/>
                <w:sz w:val="22"/>
              </w:rPr>
              <w:t>Nareit REITweek, Jun 3</w:t>
            </w:r>
          </w:p>
        </w:tc>
        <w:tc>
          <w:tcPr>
            <w:tcW w:type="dxa" w:w="1728"/>
          </w:tcPr>
          <w:p>
            <w:r>
              <w:rPr>
                <w:rFonts w:ascii="Calibri" w:hAnsi="Calibri"/>
                <w:sz w:val="22"/>
              </w:rPr>
              <w:t>Blended rates: 1.4% Q1 → 3.1% Apr → 3.7% May; tracking ahead of guidance</w:t>
            </w:r>
          </w:p>
        </w:tc>
        <w:tc>
          <w:tcPr>
            <w:tcW w:type="dxa" w:w="1728"/>
          </w:tcPr>
          <w:p>
            <w:r>
              <w:rPr>
                <w:rFonts w:ascii="Calibri" w:hAnsi="Calibri"/>
                <w:sz w:val="22"/>
              </w:rPr>
              <w:t>EQR's coastal blended rates likely continued to build above April's 3.0%; upside risk to Q2 consensus</w:t>
            </w:r>
          </w:p>
        </w:tc>
        <w:tc>
          <w:tcPr>
            <w:tcW w:type="dxa" w:w="1728"/>
          </w:tcPr>
          <w:p>
            <w:r>
              <w:rPr>
                <w:rFonts w:ascii="Calibri" w:hAnsi="Calibri"/>
                <w:b/>
                <w:color w:val="30A46C"/>
                <w:sz w:val="22"/>
              </w:rPr>
              <w:t>Positive</w:t>
            </w:r>
          </w:p>
        </w:tc>
      </w:tr>
      <w:tr>
        <w:tc>
          <w:tcPr>
            <w:tcW w:type="dxa" w:w="1728"/>
          </w:tcPr>
          <w:p>
            <w:r>
              <w:rPr>
                <w:rFonts w:ascii="Calibri" w:hAnsi="Calibri"/>
                <w:sz w:val="22"/>
              </w:rPr>
              <w:t>ESS</w:t>
            </w:r>
          </w:p>
        </w:tc>
        <w:tc>
          <w:tcPr>
            <w:tcW w:type="dxa" w:w="1728"/>
          </w:tcPr>
          <w:p>
            <w:r>
              <w:rPr>
                <w:rFonts w:ascii="Calibri" w:hAnsi="Calibri"/>
                <w:sz w:val="22"/>
              </w:rPr>
              <w:t>Nareit REITweek, Jun 3</w:t>
            </w:r>
          </w:p>
        </w:tc>
        <w:tc>
          <w:tcPr>
            <w:tcW w:type="dxa" w:w="1728"/>
          </w:tcPr>
          <w:p>
            <w:r>
              <w:rPr>
                <w:rFonts w:ascii="Calibri" w:hAnsi="Calibri"/>
                <w:sz w:val="22"/>
              </w:rPr>
              <w:t>SF: AI job postings up YTD; net domestic in-migration positive for first time in decades in Bay Area</w:t>
            </w:r>
          </w:p>
        </w:tc>
        <w:tc>
          <w:tcPr>
            <w:tcW w:type="dxa" w:w="1728"/>
          </w:tcPr>
          <w:p>
            <w:r>
              <w:rPr>
                <w:rFonts w:ascii="Calibri" w:hAnsi="Calibri"/>
                <w:sz w:val="22"/>
              </w:rPr>
              <w:t>Validates EQR's SF thesis; AI demand is real and broadening beyond just Anthropic/OpenAI</w:t>
            </w:r>
          </w:p>
        </w:tc>
        <w:tc>
          <w:tcPr>
            <w:tcW w:type="dxa" w:w="1728"/>
          </w:tcPr>
          <w:p>
            <w:r>
              <w:rPr>
                <w:rFonts w:ascii="Calibri" w:hAnsi="Calibri"/>
                <w:b/>
                <w:color w:val="30A46C"/>
                <w:sz w:val="22"/>
              </w:rPr>
              <w:t>Positive</w:t>
            </w:r>
          </w:p>
        </w:tc>
      </w:tr>
      <w:tr>
        <w:tc>
          <w:tcPr>
            <w:tcW w:type="dxa" w:w="1728"/>
          </w:tcPr>
          <w:p>
            <w:r>
              <w:rPr>
                <w:rFonts w:ascii="Calibri" w:hAnsi="Calibri"/>
                <w:sz w:val="22"/>
              </w:rPr>
              <w:t>ESS</w:t>
            </w:r>
          </w:p>
        </w:tc>
        <w:tc>
          <w:tcPr>
            <w:tcW w:type="dxa" w:w="1728"/>
          </w:tcPr>
          <w:p>
            <w:r>
              <w:rPr>
                <w:rFonts w:ascii="Calibri" w:hAnsi="Calibri"/>
                <w:sz w:val="22"/>
              </w:rPr>
              <w:t>Nareit REITweek, Jun 3</w:t>
            </w:r>
          </w:p>
        </w:tc>
        <w:tc>
          <w:tcPr>
            <w:tcW w:type="dxa" w:w="1728"/>
          </w:tcPr>
          <w:p>
            <w:r>
              <w:rPr>
                <w:rFonts w:ascii="Calibri" w:hAnsi="Calibri"/>
                <w:sz w:val="22"/>
              </w:rPr>
              <w:t>Seattle lease rates turned positive in March; improving every month; slightly ahead of expectations</w:t>
            </w:r>
          </w:p>
        </w:tc>
        <w:tc>
          <w:tcPr>
            <w:tcW w:type="dxa" w:w="1728"/>
          </w:tcPr>
          <w:p>
            <w:r>
              <w:rPr>
                <w:rFonts w:ascii="Calibri" w:hAnsi="Calibri"/>
                <w:sz w:val="22"/>
              </w:rPr>
              <w:t>EQR's Seattle lagged in Q1; ESS data suggests faster-than-expected recovery — potential positive surprise</w:t>
            </w:r>
          </w:p>
        </w:tc>
        <w:tc>
          <w:tcPr>
            <w:tcW w:type="dxa" w:w="1728"/>
          </w:tcPr>
          <w:p>
            <w:r>
              <w:rPr>
                <w:rFonts w:ascii="Calibri" w:hAnsi="Calibri"/>
                <w:b/>
                <w:color w:val="30A46C"/>
                <w:sz w:val="22"/>
              </w:rPr>
              <w:t>Positive</w:t>
            </w:r>
          </w:p>
        </w:tc>
      </w:tr>
      <w:tr>
        <w:tc>
          <w:tcPr>
            <w:tcW w:type="dxa" w:w="1728"/>
          </w:tcPr>
          <w:p>
            <w:r>
              <w:rPr>
                <w:rFonts w:ascii="Calibri" w:hAnsi="Calibri"/>
                <w:sz w:val="22"/>
              </w:rPr>
              <w:t>CPT</w:t>
            </w:r>
          </w:p>
        </w:tc>
        <w:tc>
          <w:tcPr>
            <w:tcW w:type="dxa" w:w="1728"/>
          </w:tcPr>
          <w:p>
            <w:r>
              <w:rPr>
                <w:rFonts w:ascii="Calibri" w:hAnsi="Calibri"/>
                <w:sz w:val="22"/>
              </w:rPr>
              <w:t>Nareit update, Jun 1</w:t>
            </w:r>
          </w:p>
        </w:tc>
        <w:tc>
          <w:tcPr>
            <w:tcW w:type="dxa" w:w="1728"/>
          </w:tcPr>
          <w:p>
            <w:r>
              <w:rPr>
                <w:rFonts w:ascii="Calibri" w:hAnsi="Calibri"/>
                <w:sz w:val="22"/>
              </w:rPr>
              <w:t>Q2 2026 operating trends "in line with guidance and expectations"</w:t>
            </w:r>
          </w:p>
        </w:tc>
        <w:tc>
          <w:tcPr>
            <w:tcW w:type="dxa" w:w="1728"/>
          </w:tcPr>
          <w:p>
            <w:r>
              <w:rPr>
                <w:rFonts w:ascii="Calibri" w:hAnsi="Calibri"/>
                <w:sz w:val="22"/>
              </w:rPr>
              <w:t>No negative surprises mid-quarter; sector-wide execution is clean through early June</w:t>
            </w:r>
          </w:p>
        </w:tc>
        <w:tc>
          <w:tcPr>
            <w:tcW w:type="dxa" w:w="1728"/>
          </w:tcPr>
          <w:p>
            <w:r>
              <w:rPr>
                <w:rFonts w:ascii="Calibri" w:hAnsi="Calibri"/>
                <w:b/>
                <w:color w:val="30A46C"/>
                <w:sz w:val="22"/>
              </w:rPr>
              <w:t>Neutral / Positive</w:t>
            </w:r>
          </w:p>
        </w:tc>
      </w:tr>
      <w:tr>
        <w:tc>
          <w:tcPr>
            <w:tcW w:type="dxa" w:w="1728"/>
          </w:tcPr>
          <w:p>
            <w:r>
              <w:rPr>
                <w:rFonts w:ascii="Calibri" w:hAnsi="Calibri"/>
                <w:sz w:val="22"/>
              </w:rPr>
              <w:t>MAA</w:t>
            </w:r>
          </w:p>
        </w:tc>
        <w:tc>
          <w:tcPr>
            <w:tcW w:type="dxa" w:w="1728"/>
          </w:tcPr>
          <w:p>
            <w:r>
              <w:rPr>
                <w:rFonts w:ascii="Calibri" w:hAnsi="Calibri"/>
                <w:sz w:val="22"/>
              </w:rPr>
              <w:t>Nareit REITweek, Jun 3</w:t>
            </w:r>
          </w:p>
        </w:tc>
        <w:tc>
          <w:tcPr>
            <w:tcW w:type="dxa" w:w="1728"/>
          </w:tcPr>
          <w:p>
            <w:r>
              <w:rPr>
                <w:rFonts w:ascii="Calibri" w:hAnsi="Calibri"/>
                <w:sz w:val="22"/>
              </w:rPr>
              <w:t>Blended rates up 140 bps in May from Q1; new lease rates at near-2-year high; pushing rents</w:t>
            </w:r>
          </w:p>
        </w:tc>
        <w:tc>
          <w:tcPr>
            <w:tcW w:type="dxa" w:w="1728"/>
          </w:tcPr>
          <w:p>
            <w:r>
              <w:rPr>
                <w:rFonts w:ascii="Calibri" w:hAnsi="Calibri"/>
                <w:sz w:val="22"/>
              </w:rPr>
              <w:t>Leasing season momentum is broad-based; supports EQR's new lease change recovery toward flat</w:t>
            </w:r>
          </w:p>
        </w:tc>
        <w:tc>
          <w:tcPr>
            <w:tcW w:type="dxa" w:w="1728"/>
          </w:tcPr>
          <w:p>
            <w:r>
              <w:rPr>
                <w:rFonts w:ascii="Calibri" w:hAnsi="Calibri"/>
                <w:b/>
                <w:color w:val="30A46C"/>
                <w:sz w:val="22"/>
              </w:rPr>
              <w:t>Positive</w:t>
            </w:r>
          </w:p>
        </w:tc>
      </w:tr>
      <w:tr>
        <w:tc>
          <w:tcPr>
            <w:tcW w:type="dxa" w:w="1728"/>
          </w:tcPr>
          <w:p>
            <w:r>
              <w:rPr>
                <w:rFonts w:ascii="Calibri" w:hAnsi="Calibri"/>
                <w:sz w:val="22"/>
              </w:rPr>
              <w:t>MAA</w:t>
            </w:r>
          </w:p>
        </w:tc>
        <w:tc>
          <w:tcPr>
            <w:tcW w:type="dxa" w:w="1728"/>
          </w:tcPr>
          <w:p>
            <w:r>
              <w:rPr>
                <w:rFonts w:ascii="Calibri" w:hAnsi="Calibri"/>
                <w:sz w:val="22"/>
              </w:rPr>
              <w:t>Nareit REITweek, Jun 3</w:t>
            </w:r>
          </w:p>
        </w:tc>
        <w:tc>
          <w:tcPr>
            <w:tcW w:type="dxa" w:w="1728"/>
          </w:tcPr>
          <w:p>
            <w:r>
              <w:rPr>
                <w:rFonts w:ascii="Calibri" w:hAnsi="Calibri"/>
                <w:sz w:val="22"/>
              </w:rPr>
              <w:t>Job relocations to Sunbelt (Starbucks to Nashville, GS to Dallas, JPM to Charlotte)</w:t>
            </w:r>
          </w:p>
        </w:tc>
        <w:tc>
          <w:tcPr>
            <w:tcW w:type="dxa" w:w="1728"/>
          </w:tcPr>
          <w:p>
            <w:r>
              <w:rPr>
                <w:rFonts w:ascii="Calibri" w:hAnsi="Calibri"/>
                <w:sz w:val="22"/>
              </w:rPr>
              <w:t>Mild negative for EQR's D.C. market; modest scale relative to EQR's overall demand base</w:t>
            </w:r>
          </w:p>
        </w:tc>
        <w:tc>
          <w:tcPr>
            <w:tcW w:type="dxa" w:w="1728"/>
          </w:tcPr>
          <w:p>
            <w:r>
              <w:rPr>
                <w:rFonts w:ascii="Calibri" w:hAnsi="Calibri"/>
                <w:b/>
                <w:color w:val="E5484D"/>
                <w:sz w:val="22"/>
              </w:rPr>
              <w:t>Mild Negative</w:t>
            </w:r>
          </w:p>
        </w:tc>
      </w:tr>
    </w:tbl>
    <w:p>
      <w:r>
        <w:rPr>
          <w:rFonts w:ascii="Calibri" w:hAnsi="Calibri"/>
          <w:i/>
          <w:color w:val="525866"/>
          <w:sz w:val="22"/>
        </w:rPr>
        <w:t>Sources: Essex Property Trust Nareit REITweek Investor Conference transcript, June 3, 2026; Camden Property Trust Nareit REITweek operating update press release, June 1, 2026; Mid-America Apartment Communities Nareit REITweek Investor Conference transcript, June 3, 2026.</w:t>
      </w:r>
    </w:p>
    <w:p>
      <w:r>
        <w:rPr>
          <w:rFonts w:ascii="Calibri" w:hAnsi="Calibri"/>
          <w:b/>
          <w:color w:val="525866"/>
          <w:sz w:val="22"/>
        </w:rPr>
        <w:t>Peers Not Yet Reported for Q2 2026:</w:t>
      </w:r>
      <w:r>
        <w:rPr>
          <w:rFonts w:ascii="Calibri" w:hAnsi="Calibri"/>
          <w:color w:val="525866"/>
          <w:sz w:val="22"/>
        </w:rPr>
        <w:t xml:space="preserve"> As of July 21, 2026, none of EQR's primary apartment REIT peers (AVB, ESS, MAA, UDR, CPT) have reported Q2 2026 earnings results. EQR reports first among this peer group on July 22, 2026. UDR and CPT have announced Q2 2026 earnings release dates but have not yet reported. No Q2 2026 earnings call transcripts from peers are available for read-through.</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