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EQT before writing the preview. Let me pull recent filings, transcripts, news, and price action.I'll read the Q1 2026 transcript and release, and pull more context in parallel.Let me get stock price action, natural gas market context, and retry the transcript.Let me gather recent news and natural gas market context.I now have a comprehensive picture. Let me pull together a couple of quick calculations before writing.Here is the earnings preview.</w:t>
      </w:r>
    </w:p>
    <w:p>
      <w:r>
        <w:pict>
          <v:rect style="width:0;height:1.5pt" o:hralign="center" o:hrstd="t" o:hr="t"/>
        </w:pict>
      </w:r>
    </w:p>
    <w:bookmarkStart w:id="17" w:name="Xfea3e26486fd58885f96fb68f140c49d731a9e0"/>
    <w:p>
      <w:pPr>
        <w:pStyle w:val="Heading1"/>
      </w:pPr>
      <w:r>
        <w:t xml:space="preserve">EQT Corporation (NYSE: EQT) — Q2 2026 Earnings Preview</w:t>
      </w:r>
    </w:p>
    <w:bookmarkStart w:id="9" w:name="X0c9c55f19518f2eac5f04337d74d6046afbadda"/>
    <w:p>
      <w:pPr>
        <w:pStyle w:val="Heading3"/>
      </w:pPr>
      <w:r>
        <w:t xml:space="preserve">Report expected: Tuesday, July 21, 2026 (call: Wednesday cadence typical) | Q2 2026 Earnings Call</w:t>
      </w:r>
    </w:p>
    <w:bookmarkEnd w:id="9"/>
    <w:bookmarkStart w:id="10" w:name="the-one-liner"/>
    <w:p>
      <w:pPr>
        <w:pStyle w:val="Heading2"/>
      </w:pPr>
      <w:r>
        <w:t xml:space="preserve">The one-liner</w:t>
      </w:r>
    </w:p>
    <w:p>
      <w:pPr>
        <w:pStyle w:val="FirstParagraph"/>
      </w:pPr>
      <w:r>
        <w:t xml:space="preserve">EQT enters its Q2 print as a de-levered, integrated Appalachian gas machine that has essentially completed its transformation story. The financial risk has largely been wrung out; the debate now is entirely about</w:t>
      </w:r>
      <w:r>
        <w:t xml:space="preserve"> </w:t>
      </w:r>
      <w:r>
        <w:rPr>
          <w:b/>
          <w:bCs/>
        </w:rPr>
        <w:t xml:space="preserve">the next leg of growth</w:t>
      </w:r>
      <w:r>
        <w:t xml:space="preserve"> </w:t>
      </w:r>
      <w:r>
        <w:t xml:space="preserve">— Appalachian power/data-center demand, LNG optionality, and how management deploys a swelling free-cash-flow stream. The near-term wrinkle is a soft domestic gas tape and a deliberately curtailed, seasonally weak quarter.</w:t>
      </w:r>
    </w:p>
    <w:p>
      <w:r>
        <w:pict>
          <v:rect style="width:0;height:1.5pt" o:hralign="center" o:hrstd="t" o:hr="t"/>
        </w:pict>
      </w:r>
    </w:p>
    <w:bookmarkEnd w:id="10"/>
    <w:bookmarkStart w:id="11" w:name="X310b1673619af6703c2ba0c91ac90155b843e04"/>
    <w:p>
      <w:pPr>
        <w:pStyle w:val="Heading2"/>
      </w:pPr>
      <w:r>
        <w:t xml:space="preserve">1. Setup / stock context</w:t>
      </w:r>
    </w:p>
    <w:p>
      <w:pPr>
        <w:pStyle w:val="Compact"/>
        <w:numPr>
          <w:ilvl w:val="0"/>
          <w:numId w:val="1001"/>
        </w:numPr>
      </w:pPr>
      <w:r>
        <w:t xml:space="preserve">EQT is a laggard year-to-date. Shares opened 2026 near</w:t>
      </w:r>
      <w:r>
        <w:t xml:space="preserve"> </w:t>
      </w:r>
      <m:oMath>
        <m:r>
          <m:t>53</m:t>
        </m:r>
        <m:r>
          <m:rPr>
            <m:sty m:val="p"/>
          </m:rPr>
          <m:t>*</m:t>
        </m:r>
        <m:r>
          <m:rPr>
            <m:sty m:val="p"/>
          </m:rPr>
          <m:t>*</m:t>
        </m:r>
        <m:r>
          <m:rPr>
            <m:sty m:val="p"/>
          </m:rPr>
          <m:t>,</m:t>
        </m:r>
        <m:r>
          <m:t>r</m:t>
        </m:r>
        <m:r>
          <m:t>a</m:t>
        </m:r>
        <m:r>
          <m:t>n</m:t>
        </m:r>
        <m:r>
          <m:t>t</m:t>
        </m:r>
        <m:r>
          <m:t>o</m:t>
        </m:r>
        <m:r>
          <m:t>a</m:t>
        </m:r>
        <m:r>
          <m:rPr>
            <m:sty m:val="p"/>
          </m:rPr>
          <m:t>*</m:t>
        </m:r>
        <m:r>
          <m:rPr>
            <m:sty m:val="p"/>
          </m:rPr>
          <m:t>*</m:t>
        </m:r>
        <m:r>
          <m:t> </m:t>
        </m:r>
      </m:oMath>
      <w:r>
        <w:rPr>
          <w:b/>
          <w:bCs/>
        </w:rPr>
        <w:t xml:space="preserve">68 peak in late March</w:t>
      </w:r>
      <w:r>
        <w:t xml:space="preserve">, and have since given it all back and then some — closing</w:t>
      </w:r>
      <w:r>
        <w:t xml:space="preserve"> </w:t>
      </w:r>
      <w:r>
        <w:rPr>
          <w:b/>
          <w:bCs/>
        </w:rPr>
        <w:t xml:space="preserve">$49.06 on 7/20</w:t>
      </w:r>
      <w:r>
        <w:t xml:space="preserve">, roughly</w:t>
      </w:r>
      <w:r>
        <w:t xml:space="preserve"> </w:t>
      </w:r>
      <w:r>
        <w:rPr>
          <w:b/>
          <w:bCs/>
        </w:rPr>
        <w:t xml:space="preserve">-8% YTD and ~-28% off the March high</w:t>
      </w:r>
      <w:r>
        <w:t xml:space="preserve">.</w:t>
      </w:r>
    </w:p>
    <w:p>
      <w:pPr>
        <w:pStyle w:val="Compact"/>
        <w:numPr>
          <w:ilvl w:val="0"/>
          <w:numId w:val="1001"/>
        </w:numPr>
      </w:pPr>
      <w:r>
        <w:t xml:space="preserve">The de-rating since spring maps to a</w:t>
      </w:r>
      <w:r>
        <w:t xml:space="preserve"> </w:t>
      </w:r>
      <w:r>
        <w:rPr>
          <w:b/>
          <w:bCs/>
        </w:rPr>
        <w:t xml:space="preserve">weaker domestic gas curve into shoulder season</w:t>
      </w:r>
      <w:r>
        <w:t xml:space="preserve">, not a company-specific stumble. Notably, this weakness persists</w:t>
      </w:r>
      <w:r>
        <w:t xml:space="preserve"> </w:t>
      </w:r>
      <w:r>
        <w:rPr>
          <w:i/>
          <w:iCs/>
        </w:rPr>
        <w:t xml:space="preserve">despite</w:t>
      </w:r>
      <w:r>
        <w:t xml:space="preserve"> </w:t>
      </w:r>
      <w:r>
        <w:t xml:space="preserve">a fresh geopolitical shock: the Middle East/Iran escalation has pushed **Brent back above</w:t>
      </w:r>
      <w:r>
        <w:t xml:space="preserve"> </w:t>
      </w:r>
      <m:oMath>
        <m:r>
          <m:t>90</m:t>
        </m:r>
        <m:r>
          <m:rPr>
            <m:sty m:val="p"/>
          </m:rPr>
          <m:t>*</m:t>
        </m:r>
        <m:r>
          <m:rPr>
            <m:sty m:val="p"/>
          </m:rPr>
          <m:t>*</m:t>
        </m:r>
        <m:r>
          <m:t>a</m:t>
        </m:r>
        <m:r>
          <m:t>n</m:t>
        </m:r>
        <m:r>
          <m:t>d</m:t>
        </m:r>
        <m:r>
          <m:t>U</m:t>
        </m:r>
        <m:r>
          <m:rPr>
            <m:sty m:val="p"/>
          </m:rPr>
          <m:t>.</m:t>
        </m:r>
        <m:r>
          <m:t>S</m:t>
        </m:r>
        <m:r>
          <m:rPr>
            <m:sty m:val="p"/>
          </m:rPr>
          <m:t>.</m:t>
        </m:r>
        <m:r>
          <m:t>p</m:t>
        </m:r>
        <m:r>
          <m:t>u</m:t>
        </m:r>
        <m:r>
          <m:t>m</m:t>
        </m:r>
        <m:r>
          <m:t>p</m:t>
        </m:r>
        <m:r>
          <m:t>p</m:t>
        </m:r>
        <m:r>
          <m:t>r</m:t>
        </m:r>
        <m:r>
          <m:t>i</m:t>
        </m:r>
        <m:r>
          <m:t>c</m:t>
        </m:r>
        <m:r>
          <m:t>e</m:t>
        </m:r>
        <m:r>
          <m:t>s</m:t>
        </m:r>
        <m:r>
          <m:t>t</m:t>
        </m:r>
        <m:r>
          <m:t>o</m:t>
        </m:r>
        <m:r>
          <m:t> </m:t>
        </m:r>
      </m:oMath>
      <w:r>
        <w:t xml:space="preserve">4/gal, yet Henry Hub has stayed subdued — the very "American energy advantage" (gas trading at ~$16/bbl-equivalent) management highlighted last quarter, and a reminder that EQT has almost no</w:t>
      </w:r>
      <w:r>
        <w:t xml:space="preserve"> </w:t>
      </w:r>
      <w:r>
        <w:rPr>
          <w:i/>
          <w:iCs/>
        </w:rPr>
        <w:t xml:space="preserve">domestic</w:t>
      </w:r>
      <w:r>
        <w:t xml:space="preserve"> </w:t>
      </w:r>
      <w:r>
        <w:t xml:space="preserve">price torque to the global shock until its LNG book turns on in 2030.</w:t>
      </w:r>
    </w:p>
    <w:p>
      <w:pPr>
        <w:pStyle w:val="Compact"/>
        <w:numPr>
          <w:ilvl w:val="0"/>
          <w:numId w:val="1001"/>
        </w:numPr>
      </w:pPr>
      <w:r>
        <w:t xml:space="preserve">After a blowout Q1 (record FCF, guidance beat across the board), the bar for "operational excellence" is high; the market will be less forgiving of any negative surprise.</w:t>
      </w:r>
    </w:p>
    <w:p>
      <w:r>
        <w:pict>
          <v:rect style="width:0;height:1.5pt" o:hralign="center" o:hrstd="t" o:hr="t"/>
        </w:pict>
      </w:r>
    </w:p>
    <w:bookmarkEnd w:id="11"/>
    <w:bookmarkStart w:id="12" w:name="X80dc72c50b4fe4a9c84f4209c7295a672bd49a5"/>
    <w:p>
      <w:pPr>
        <w:pStyle w:val="Heading2"/>
      </w:pPr>
      <w:r>
        <w:t xml:space="preserve">2. What management guided for Q2 (the numbers to grade against)</w:t>
      </w:r>
    </w:p>
    <w:p>
      <w:pPr>
        <w:pStyle w:val="FirstParagraph"/>
      </w:pPr>
      <w:r>
        <w:t xml:space="preserve">From the Q1 release, Q2 2026 guidance: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FY2026 Guide</w:t>
            </w:r>
          </w:p>
        </w:tc>
      </w:tr>
      <w:tr>
        <w:tc>
          <w:tcPr/>
          <w:p>
            <w:pPr>
              <w:pStyle w:val="Compact"/>
            </w:pPr>
            <w:r>
              <w:t xml:space="preserve">Total sales volume</w:t>
            </w:r>
          </w:p>
        </w:tc>
        <w:tc>
          <w:tcPr/>
          <w:p>
            <w:pPr>
              <w:pStyle w:val="Compact"/>
            </w:pPr>
            <w:r>
              <w:rPr>
                <w:b/>
                <w:bCs/>
              </w:rPr>
              <w:t xml:space="preserve">570 – 620 Bcfe</w:t>
            </w:r>
            <w:r>
              <w:t xml:space="preserve"> </w:t>
            </w:r>
            <w:r>
              <w:t xml:space="preserve">(incl. 10–15 Bcfe strategic curtailments)</w:t>
            </w:r>
          </w:p>
        </w:tc>
        <w:tc>
          <w:tcPr/>
          <w:p>
            <w:pPr>
              <w:pStyle w:val="Compact"/>
            </w:pPr>
            <w:r>
              <w:t xml:space="preserve">2,275 – 2,375 Bcfe</w:t>
            </w:r>
          </w:p>
        </w:tc>
      </w:tr>
      <w:tr>
        <w:tc>
          <w:tcPr/>
          <w:p>
            <w:pPr>
              <w:pStyle w:val="Compact"/>
            </w:pPr>
            <w:r>
              <w:t xml:space="preserve">Maintenance capex</w:t>
            </w:r>
          </w:p>
        </w:tc>
        <w:tc>
          <w:tcPr/>
          <w:p>
            <w:pPr>
              <w:pStyle w:val="Compact"/>
            </w:pPr>
            <w:r>
              <w:t xml:space="preserve">$525 – $595M</w:t>
            </w:r>
          </w:p>
        </w:tc>
        <w:tc>
          <w:tcPr/>
          <w:p>
            <w:pPr>
              <w:pStyle w:val="Compact"/>
            </w:pPr>
            <w:r>
              <w:t xml:space="preserve">$2,070 – $2,210M</w:t>
            </w:r>
          </w:p>
        </w:tc>
      </w:tr>
      <w:tr>
        <w:tc>
          <w:tcPr/>
          <w:p>
            <w:pPr>
              <w:pStyle w:val="Compact"/>
            </w:pPr>
            <w:r>
              <w:t xml:space="preserve">Growth capex</w:t>
            </w:r>
          </w:p>
        </w:tc>
        <w:tc>
          <w:tcPr/>
          <w:p>
            <w:pPr>
              <w:pStyle w:val="Compact"/>
            </w:pPr>
            <w:r>
              <w:t xml:space="preserve">$210 – $235M</w:t>
            </w:r>
          </w:p>
        </w:tc>
        <w:tc>
          <w:tcPr/>
          <w:p>
            <w:pPr>
              <w:pStyle w:val="Compact"/>
            </w:pPr>
            <w:r>
              <w:t xml:space="preserve">$580 – $640M</w:t>
            </w:r>
          </w:p>
        </w:tc>
      </w:tr>
      <w:tr>
        <w:tc>
          <w:tcPr/>
          <w:p>
            <w:pPr>
              <w:pStyle w:val="Compact"/>
            </w:pPr>
            <w:r>
              <w:t xml:space="preserve">TILs (net wells)</w:t>
            </w:r>
          </w:p>
        </w:tc>
        <w:tc>
          <w:tcPr/>
          <w:p>
            <w:pPr>
              <w:pStyle w:val="Compact"/>
            </w:pPr>
            <w:r>
              <w:t xml:space="preserve">30 – 45</w:t>
            </w:r>
          </w:p>
        </w:tc>
        <w:tc>
          <w:tcPr/>
          <w:p>
            <w:pPr>
              <w:pStyle w:val="Compact"/>
            </w:pPr>
            <w:r>
              <w:t xml:space="preserve">—</w:t>
            </w:r>
          </w:p>
        </w:tc>
      </w:tr>
      <w:tr>
        <w:tc>
          <w:tcPr/>
          <w:p>
            <w:pPr>
              <w:pStyle w:val="Compact"/>
            </w:pPr>
            <w:r>
              <w:t xml:space="preserve">Avg. differential ($/Mcf, incl. basis hedges)</w:t>
            </w:r>
          </w:p>
        </w:tc>
        <w:tc>
          <w:tcPr/>
          <w:p>
            <w:pPr>
              <w:pStyle w:val="Compact"/>
            </w:pPr>
            <w:r>
              <w:t xml:space="preserve">(</w:t>
            </w:r>
            <m:oMath>
              <m:r>
                <m:t>0.75</m:t>
              </m:r>
              <m:r>
                <m:rPr>
                  <m:sty m:val="p"/>
                </m:rPr>
                <m:t>)</m:t>
              </m:r>
              <m:r>
                <m:rPr>
                  <m:sty m:val="p"/>
                </m:rPr>
                <m:t>–</m:t>
              </m:r>
              <m:r>
                <m:rPr>
                  <m:sty m:val="p"/>
                </m:rPr>
                <m:t>(</m:t>
              </m:r>
            </m:oMath>
            <w:r>
              <w:t xml:space="preserve">0.65)</w:t>
            </w:r>
          </w:p>
        </w:tc>
        <w:tc>
          <w:tcPr/>
          <w:p>
            <w:pPr>
              <w:pStyle w:val="Compact"/>
            </w:pPr>
            <w:r>
              <w:t xml:space="preserve">(</w:t>
            </w:r>
            <m:oMath>
              <m:r>
                <m:t>0.55</m:t>
              </m:r>
              <m:r>
                <m:rPr>
                  <m:sty m:val="p"/>
                </m:rPr>
                <m:t>)</m:t>
              </m:r>
              <m:r>
                <m:rPr>
                  <m:sty m:val="p"/>
                </m:rPr>
                <m:t>–</m:t>
              </m:r>
              <m:r>
                <m:rPr>
                  <m:sty m:val="p"/>
                </m:rPr>
                <m:t>(</m:t>
              </m:r>
            </m:oMath>
            <w:r>
              <w:t xml:space="preserve">0.35)</w:t>
            </w:r>
          </w:p>
        </w:tc>
      </w:tr>
      <w:tr>
        <w:tc>
          <w:tcPr/>
          <w:p>
            <w:pPr>
              <w:pStyle w:val="Compact"/>
            </w:pPr>
            <w:r>
              <w:t xml:space="preserve">Total per-unit op costs</w:t>
            </w:r>
          </w:p>
        </w:tc>
        <w:tc>
          <w:tcPr/>
          <w:p>
            <w:pPr>
              <w:pStyle w:val="Compact"/>
            </w:pPr>
            <w:r>
              <w:t xml:space="preserve">$1.03 – $1.17</w:t>
            </w:r>
          </w:p>
        </w:tc>
        <w:tc>
          <w:tcPr/>
          <w:p>
            <w:pPr>
              <w:pStyle w:val="Compact"/>
            </w:pPr>
            <w:r>
              <w:t xml:space="preserve">$1.07 – $1.21</w:t>
            </w:r>
          </w:p>
        </w:tc>
      </w:tr>
    </w:tbl>
    <w:p>
      <w:pPr>
        <w:pStyle w:val="BodyText"/>
      </w:pPr>
      <w:r>
        <w:t xml:space="preserve">Key framing management gave:</w:t>
      </w:r>
    </w:p>
    <w:p>
      <w:pPr>
        <w:pStyle w:val="Compact"/>
        <w:numPr>
          <w:ilvl w:val="0"/>
          <w:numId w:val="1002"/>
        </w:numPr>
      </w:pPr>
      <w:r>
        <w:rPr>
          <w:b/>
          <w:bCs/>
        </w:rPr>
        <w:t xml:space="preserve">Q2 is the peak capex quarter</w:t>
      </w:r>
      <w:r>
        <w:t xml:space="preserve"> </w:t>
      </w:r>
      <w:r>
        <w:t xml:space="preserve">of the year (growth-project timing); spend should step down meaningfully in H2, mechanically boosting 2H free cash flow.</w:t>
      </w:r>
    </w:p>
    <w:p>
      <w:pPr>
        <w:pStyle w:val="Compact"/>
        <w:numPr>
          <w:ilvl w:val="0"/>
          <w:numId w:val="1002"/>
        </w:numPr>
      </w:pPr>
      <w:r>
        <w:rPr>
          <w:b/>
          <w:bCs/>
        </w:rPr>
        <w:t xml:space="preserve">Strategic curtailments (~10–15 Bcfe)</w:t>
      </w:r>
      <w:r>
        <w:t xml:space="preserve"> </w:t>
      </w:r>
      <w:r>
        <w:t xml:space="preserve">are deliberate — "gas in the ground as synthetic storage" — to avoid selling into weak shoulder-season pricing. Volumes at the low-to-mid end of the range should be read as</w:t>
      </w:r>
      <w:r>
        <w:t xml:space="preserve"> </w:t>
      </w:r>
      <w:r>
        <w:rPr>
          <w:i/>
          <w:iCs/>
        </w:rPr>
        <w:t xml:space="preserve">optimization, not weakness</w:t>
      </w:r>
      <w:r>
        <w:t xml:space="preserve">.</w:t>
      </w:r>
    </w:p>
    <w:p>
      <w:pPr>
        <w:pStyle w:val="Compact"/>
        <w:numPr>
          <w:ilvl w:val="0"/>
          <w:numId w:val="1002"/>
        </w:numPr>
      </w:pPr>
      <w:r>
        <w:t xml:space="preserve">Realized pricing will be pressured vs. Q1's exceptional $5.08/Mcfe. Q1 benefited from peak-winter pricing (NYMEX</w:t>
      </w:r>
      <w:r>
        <w:t xml:space="preserve"> </w:t>
      </w:r>
      <m:oMath>
        <m:r>
          <m:t>4.95</m:t>
        </m:r>
        <m:r>
          <m:rPr>
            <m:sty m:val="p"/>
          </m:rPr>
          <m:t>,</m:t>
        </m:r>
        <m:r>
          <m:rPr>
            <m:sty m:val="p"/>
          </m:rPr>
          <m:t>+</m:t>
        </m:r>
      </m:oMath>
      <w:r>
        <w:t xml:space="preserve">0.27 Btu uplift, +basis) plus in-the-money collars (ceilings ~$4.94). Q2 sits in the seasonal trough; the wider negative differential guide reflects it.</w:t>
      </w:r>
    </w:p>
    <w:p>
      <w:r>
        <w:pict>
          <v:rect style="width:0;height:1.5pt" o:hralign="center" o:hrstd="t" o:hr="t"/>
        </w:pict>
      </w:r>
    </w:p>
    <w:bookmarkEnd w:id="12"/>
    <w:bookmarkStart w:id="13" w:name="X52f0fc01adcdf6d8eadedd5fadb0560bb06b145"/>
    <w:p>
      <w:pPr>
        <w:pStyle w:val="Heading2"/>
      </w:pPr>
      <w:r>
        <w:t xml:space="preserve">3. The five things that actually move the stock</w:t>
      </w:r>
    </w:p>
    <w:p>
      <w:pPr>
        <w:pStyle w:val="FirstParagraph"/>
      </w:pPr>
      <w:r>
        <w:t xml:space="preserve">**(a) Deleveraging — the "</w:t>
      </w:r>
      <w:r>
        <w:t xml:space="preserve">$5B by year-end" checkpoint.** Net debt fell from **$</w:t>
      </w:r>
      <w:r>
        <w:t xml:space="preserve">7.7B (YE25) to</w:t>
      </w:r>
      <w:r>
        <w:t xml:space="preserve"> </w:t>
      </w:r>
      <m:oMath>
        <m:r>
          <m:t>5.7</m:t>
        </m:r>
        <m:r>
          <m:t>B</m:t>
        </m:r>
        <m:r>
          <m:t>a</m:t>
        </m:r>
        <m:r>
          <m:t>t</m:t>
        </m:r>
        <m:r>
          <m:t>Q</m:t>
        </m:r>
        <m:r>
          <m:t>1</m:t>
        </m:r>
        <m:r>
          <m:rPr>
            <m:sty m:val="p"/>
          </m:rPr>
          <m:t>*</m:t>
        </m:r>
        <m:r>
          <m:rPr>
            <m:sty m:val="p"/>
          </m:rPr>
          <m:t>*</m:t>
        </m:r>
        <m:r>
          <m:rPr>
            <m:sty m:val="p"/>
          </m:rPr>
          <m:t>,</m:t>
        </m:r>
        <m:r>
          <m:t>l</m:t>
        </m:r>
        <m:r>
          <m:t>e</m:t>
        </m:r>
        <m:r>
          <m:t>v</m:t>
        </m:r>
        <m:r>
          <m:t>e</m:t>
        </m:r>
        <m:r>
          <m:t>r</m:t>
        </m:r>
        <m:r>
          <m:t>a</m:t>
        </m:r>
        <m:r>
          <m:t>g</m:t>
        </m:r>
        <m:r>
          <m:t>e</m:t>
        </m:r>
        <m:r>
          <m:t>i</m:t>
        </m:r>
        <m:r>
          <m:t>s</m:t>
        </m:r>
        <m:r>
          <m:t>n</m:t>
        </m:r>
        <m:r>
          <m:t>o</m:t>
        </m:r>
        <m:r>
          <m:t>w</m:t>
        </m:r>
        <m:r>
          <m:rPr>
            <m:sty m:val="p"/>
          </m:rPr>
          <m:t>*</m:t>
        </m:r>
        <m:r>
          <m:rPr>
            <m:sty m:val="p"/>
          </m:rPr>
          <m:t>*</m:t>
        </m:r>
        <m:r>
          <m:rPr>
            <m:sty m:val="p"/>
          </m:rPr>
          <m:t>&lt;</m:t>
        </m:r>
        <m:r>
          <m:t>1</m:t>
        </m:r>
        <m:r>
          <m:t>x</m:t>
        </m:r>
        <m:r>
          <m:rPr>
            <m:sty m:val="p"/>
          </m:rPr>
          <m:t>*</m:t>
        </m:r>
        <m:r>
          <m:rPr>
            <m:sty m:val="p"/>
          </m:rPr>
          <m:t>*</m:t>
        </m:r>
        <m:r>
          <m:rPr>
            <m:sty m:val="p"/>
          </m:rPr>
          <m:t>,</m:t>
        </m:r>
        <m:r>
          <m:t>a</m:t>
        </m:r>
        <m:r>
          <m:t>n</m:t>
        </m:r>
        <m:r>
          <m:t>d</m:t>
        </m:r>
        <m:r>
          <m:t>F</m:t>
        </m:r>
        <m:r>
          <m:t>i</m:t>
        </m:r>
        <m:r>
          <m:t>t</m:t>
        </m:r>
        <m:r>
          <m:t>c</m:t>
        </m:r>
        <m:r>
          <m:t>h</m:t>
        </m:r>
        <m:r>
          <m:t>u</m:t>
        </m:r>
        <m:r>
          <m:t>p</m:t>
        </m:r>
        <m:r>
          <m:t>g</m:t>
        </m:r>
        <m:r>
          <m:t>r</m:t>
        </m:r>
        <m:r>
          <m:t>a</m:t>
        </m:r>
        <m:r>
          <m:t>d</m:t>
        </m:r>
        <m:r>
          <m:t>e</m:t>
        </m:r>
        <m:r>
          <m:t>d</m:t>
        </m:r>
        <m:r>
          <m:t>E</m:t>
        </m:r>
        <m:r>
          <m:t>Q</m:t>
        </m:r>
        <m:r>
          <m:t>T</m:t>
        </m:r>
        <m:r>
          <m:t>t</m:t>
        </m:r>
        <m:r>
          <m:t>o</m:t>
        </m:r>
        <m:r>
          <m:rPr>
            <m:sty m:val="p"/>
          </m:rPr>
          <m:t>*</m:t>
        </m:r>
        <m:r>
          <m:rPr>
            <m:sty m:val="p"/>
          </m:rPr>
          <m:t>*</m:t>
        </m:r>
        <m:r>
          <m:t>B</m:t>
        </m:r>
        <m:r>
          <m:t>B</m:t>
        </m:r>
        <m:r>
          <m:t>B</m:t>
        </m:r>
        <m:r>
          <m:rPr>
            <m:sty m:val="p"/>
          </m:rPr>
          <m:t>*</m:t>
        </m:r>
        <m:r>
          <m:rPr>
            <m:sty m:val="p"/>
          </m:rPr>
          <m:t>*</m:t>
        </m:r>
        <m:r>
          <m:rPr>
            <m:sty m:val="p"/>
          </m:rPr>
          <m:t>.</m:t>
        </m:r>
        <m:r>
          <m:t>M</m:t>
        </m:r>
        <m:r>
          <m:t>a</m:t>
        </m:r>
        <m:r>
          <m:t>n</m:t>
        </m:r>
        <m:r>
          <m:t>a</m:t>
        </m:r>
        <m:r>
          <m:t>g</m:t>
        </m:r>
        <m:r>
          <m:t>e</m:t>
        </m:r>
        <m:r>
          <m:t>m</m:t>
        </m:r>
        <m:r>
          <m:t>e</m:t>
        </m:r>
        <m:r>
          <m:t>n</m:t>
        </m:r>
        <m:r>
          <m:t>t</m:t>
        </m:r>
        <m:r>
          <m:t>i</m:t>
        </m:r>
        <m:r>
          <m:t>s</m:t>
        </m:r>
        <m:r>
          <m:t> </m:t>
        </m:r>
      </m:oMath>
      <w:r>
        <w:t xml:space="preserve">0.7B from its</w:t>
      </w:r>
      <w:r>
        <w:t xml:space="preserve"> </w:t>
      </w:r>
      <w:r>
        <w:rPr>
          <w:b/>
          <w:bCs/>
        </w:rPr>
        <w:t xml:space="preserve">$5B long-term net-debt target</w:t>
      </w:r>
      <w:r>
        <w:t xml:space="preserve">, which they expect to hit by year-end. Watch whether Q2 FCF (post-peak-capex) keeps them on glide-path — and, critically,</w:t>
      </w:r>
      <w:r>
        <w:t xml:space="preserve"> </w:t>
      </w:r>
      <w:r>
        <w:rPr>
          <w:b/>
          <w:bCs/>
        </w:rPr>
        <w:t xml:space="preserve">what happens to the incremental FCF once the target is reached</w:t>
      </w:r>
      <w:r>
        <w:t xml:space="preserve">. This is the pivot from "pay down debt" to "return/reinvest."</w:t>
      </w:r>
    </w:p>
    <w:p>
      <w:pPr>
        <w:pStyle w:val="BodyText"/>
      </w:pPr>
      <w:r>
        <w:rPr>
          <w:b/>
          <w:bCs/>
        </w:rPr>
        <w:t xml:space="preserve">(b) Capital allocation — buybacks vs. dividend vs. growth.</w:t>
      </w:r>
      <w:r>
        <w:t xml:space="preserve"> </w:t>
      </w:r>
      <w:r>
        <w:t xml:space="preserve">CFO Jeremy Knop was explicit last quarter: base dividend (~$0.165/qtr) grows annually, but the</w:t>
      </w:r>
      <w:r>
        <w:t xml:space="preserve"> </w:t>
      </w:r>
      <w:r>
        <w:rPr>
          <w:i/>
          <w:iCs/>
        </w:rPr>
        <w:t xml:space="preserve">incremental</w:t>
      </w:r>
      <w:r>
        <w:t xml:space="preserve"> </w:t>
      </w:r>
      <w:r>
        <w:t xml:space="preserve">dollar favors</w:t>
      </w:r>
      <w:r>
        <w:t xml:space="preserve"> </w:t>
      </w:r>
      <w:r>
        <w:rPr>
          <w:b/>
          <w:bCs/>
        </w:rPr>
        <w:t xml:space="preserve">opportunistic buybacks + bringing back top-line growth</w:t>
      </w:r>
      <w:r>
        <w:t xml:space="preserve">, not a bigger dividend. With the stock down ~28% from highs, listen for whether management characterizes current levels as a buyback opportunity ("aggressively repurchase during market weakness").</w:t>
      </w:r>
    </w:p>
    <w:p>
      <w:pPr>
        <w:pStyle w:val="BodyText"/>
      </w:pPr>
      <w:r>
        <w:rPr>
          <w:b/>
          <w:bCs/>
        </w:rPr>
        <w:t xml:space="preserve">(c) Appalachian demand-pull: power &amp; data centers.</w:t>
      </w:r>
      <w:r>
        <w:t xml:space="preserve"> </w:t>
      </w:r>
      <w:r>
        <w:t xml:space="preserve">This is the new bull thesis. Management said deals should</w:t>
      </w:r>
      <w:r>
        <w:t xml:space="preserve"> </w:t>
      </w:r>
      <w:r>
        <w:rPr>
          <w:b/>
          <w:bCs/>
        </w:rPr>
        <w:t xml:space="preserve">"start landing in the second half of this year"</w:t>
      </w:r>
      <w:r>
        <w:t xml:space="preserve"> </w:t>
      </w:r>
      <w:r>
        <w:t xml:space="preserve">and framed a pipeline of</w:t>
      </w:r>
      <w:r>
        <w:t xml:space="preserve"> </w:t>
      </w:r>
      <w:r>
        <w:rPr>
          <w:b/>
          <w:bCs/>
        </w:rPr>
        <w:t xml:space="preserve">multiple Bcf/d</w:t>
      </w:r>
      <w:r>
        <w:t xml:space="preserve"> </w:t>
      </w:r>
      <w:r>
        <w:t xml:space="preserve">of supply opportunities plus midstream (Ohio/Clarington, egress out of SW Appalachia). They raised the internal power-demand bull case (10 Bcf/d) toward the new base case.</w:t>
      </w:r>
      <w:r>
        <w:t xml:space="preserve"> </w:t>
      </w:r>
      <w:r>
        <w:rPr>
          <w:b/>
          <w:bCs/>
        </w:rPr>
        <w:t xml:space="preserve">Any signed gas-supply or midstream agreement on this call would be the single biggest potential catalyst.</w:t>
      </w:r>
      <w:r>
        <w:t xml:space="preserve"> </w:t>
      </w:r>
      <w:r>
        <w:t xml:space="preserve">Also track named projects: Homer City, Shippingport, Southeast Supply Enhancement (Transco), MVP Boost, Borealis.</w:t>
      </w:r>
    </w:p>
    <w:p>
      <w:pPr>
        <w:pStyle w:val="BodyText"/>
      </w:pPr>
      <w:r>
        <w:rPr>
          <w:b/>
          <w:bCs/>
        </w:rPr>
        <w:t xml:space="preserve">(d) LNG optionality.</w:t>
      </w:r>
      <w:r>
        <w:t xml:space="preserve"> </w:t>
      </w:r>
      <w:r>
        <w:t xml:space="preserve">~6 Mtpa / ~15% of volumes, contracts starting</w:t>
      </w:r>
      <w:r>
        <w:t xml:space="preserve"> </w:t>
      </w:r>
      <w:r>
        <w:rPr>
          <w:b/>
          <w:bCs/>
        </w:rPr>
        <w:t xml:space="preserve">2030</w:t>
      </w:r>
      <w:r>
        <w:t xml:space="preserve">. Base-case uplift ~$500M/yr; management floated that 2026-style volatility could push that toward</w:t>
      </w:r>
      <w:r>
        <w:t xml:space="preserve"> </w:t>
      </w:r>
      <m:oMath>
        <m:r>
          <m:t>2.5</m:t>
        </m:r>
        <m:r>
          <m:t>B</m:t>
        </m:r>
        <m:r>
          <m:rPr>
            <m:sty m:val="p"/>
          </m:rPr>
          <m:t>,</m:t>
        </m:r>
        <m:r>
          <m:t>a</m:t>
        </m:r>
        <m:r>
          <m:t>n</m:t>
        </m:r>
        <m:r>
          <m:t>d</m:t>
        </m:r>
        <m:r>
          <m:t>s</m:t>
        </m:r>
        <m:r>
          <m:t>a</m:t>
        </m:r>
        <m:r>
          <m:t>i</m:t>
        </m:r>
        <m:r>
          <m:t>d</m:t>
        </m:r>
        <m:r>
          <m:t>f</m:t>
        </m:r>
        <m:r>
          <m:t>u</m:t>
        </m:r>
        <m:r>
          <m:t>l</m:t>
        </m:r>
        <m:r>
          <m:t>l</m:t>
        </m:r>
        <m:r>
          <m:t>L</m:t>
        </m:r>
        <m:r>
          <m:t>N</m:t>
        </m:r>
        <m:r>
          <m:t>G</m:t>
        </m:r>
        <m:r>
          <m:t>e</m:t>
        </m:r>
        <m:r>
          <m:t>x</m:t>
        </m:r>
        <m:r>
          <m:t>p</m:t>
        </m:r>
        <m:r>
          <m:t>o</m:t>
        </m:r>
        <m:r>
          <m:t>s</m:t>
        </m:r>
        <m:r>
          <m:t>u</m:t>
        </m:r>
        <m:r>
          <m:t>r</m:t>
        </m:r>
        <m:r>
          <m:t>e</m:t>
        </m:r>
        <m:r>
          <m:t>a</m:t>
        </m:r>
        <m:r>
          <m:t>t</m:t>
        </m:r>
        <m:r>
          <m:t>c</m:t>
        </m:r>
        <m:r>
          <m:t>u</m:t>
        </m:r>
        <m:r>
          <m:t>r</m:t>
        </m:r>
        <m:r>
          <m:t>r</m:t>
        </m:r>
        <m:r>
          <m:t>e</m:t>
        </m:r>
        <m:r>
          <m:t>n</m:t>
        </m:r>
        <m:r>
          <m:t>t</m:t>
        </m:r>
        <m:r>
          <m:t>s</m:t>
        </m:r>
        <m:r>
          <m:t>p</m:t>
        </m:r>
        <m:r>
          <m:t>r</m:t>
        </m:r>
        <m:r>
          <m:t>e</m:t>
        </m:r>
        <m:r>
          <m:t>a</m:t>
        </m:r>
        <m:r>
          <m:t>d</m:t>
        </m:r>
        <m:r>
          <m:t>s</m:t>
        </m:r>
        <m:r>
          <m:t>w</m:t>
        </m:r>
        <m:r>
          <m:t>o</m:t>
        </m:r>
        <m:r>
          <m:t>u</m:t>
        </m:r>
        <m:r>
          <m:t>l</m:t>
        </m:r>
        <m:r>
          <m:t>d</m:t>
        </m:r>
        <m:r>
          <m:t>i</m:t>
        </m:r>
        <m:r>
          <m:t>m</m:t>
        </m:r>
        <m:r>
          <m:t>p</m:t>
        </m:r>
        <m:r>
          <m:t>l</m:t>
        </m:r>
        <m:r>
          <m:t>y</m:t>
        </m:r>
        <m:r>
          <m:rPr>
            <m:sty m:val="p"/>
          </m:rPr>
          <m:t>*</m:t>
        </m:r>
        <m:r>
          <m:rPr>
            <m:sty m:val="p"/>
          </m:rPr>
          <m:t>*</m:t>
        </m:r>
        <m:r>
          <m:t> </m:t>
        </m:r>
      </m:oMath>
      <w:r>
        <w:t xml:space="preserve">6B of 2026 FCF**. Expect offtake-signing commentary but management guided those agreements to the</w:t>
      </w:r>
      <w:r>
        <w:t xml:space="preserve"> </w:t>
      </w:r>
      <w:r>
        <w:rPr>
          <w:b/>
          <w:bCs/>
        </w:rPr>
        <w:t xml:space="preserve">'28–'29</w:t>
      </w:r>
      <w:r>
        <w:t xml:space="preserve"> </w:t>
      </w:r>
      <w:r>
        <w:t xml:space="preserve">window — don't expect deals now.</w:t>
      </w:r>
    </w:p>
    <w:p>
      <w:pPr>
        <w:pStyle w:val="BodyText"/>
      </w:pPr>
      <w:r>
        <w:rPr>
          <w:b/>
          <w:bCs/>
        </w:rPr>
        <w:t xml:space="preserve">(e) Full-year guidance update.</w:t>
      </w:r>
      <w:r>
        <w:t xml:space="preserve"> </w:t>
      </w:r>
      <w:r>
        <w:t xml:space="preserve">Knop signaled a</w:t>
      </w:r>
      <w:r>
        <w:t xml:space="preserve"> </w:t>
      </w:r>
      <w:r>
        <w:rPr>
          <w:b/>
          <w:bCs/>
        </w:rPr>
        <w:t xml:space="preserve">potential mid-year guidance refresh</w:t>
      </w:r>
      <w:r>
        <w:t xml:space="preserve">. Given Q1 volumes came in above the high end and the business is "at least at midpoint," watch for a</w:t>
      </w:r>
      <w:r>
        <w:t xml:space="preserve"> </w:t>
      </w:r>
      <w:r>
        <w:rPr>
          <w:b/>
          <w:bCs/>
        </w:rPr>
        <w:t xml:space="preserve">possible upward volume revision</w:t>
      </w:r>
      <w:r>
        <w:t xml:space="preserve"> </w:t>
      </w:r>
      <w:r>
        <w:t xml:space="preserve">(or explicit conservatism preserved for fall curtailment optionality). H1 volumes are guided well above H2 — expect questions on the second-half shape and whether more fall shut-ins are coming.</w:t>
      </w:r>
    </w:p>
    <w:p>
      <w:r>
        <w:pict>
          <v:rect style="width:0;height:1.5pt" o:hralign="center" o:hrstd="t" o:hr="t"/>
        </w:pict>
      </w:r>
    </w:p>
    <w:bookmarkEnd w:id="13"/>
    <w:bookmarkStart w:id="14" w:name="X87241e3cd32522651e2d8c486d4c0a33bf9f939"/>
    <w:p>
      <w:pPr>
        <w:pStyle w:val="Heading2"/>
      </w:pPr>
      <w:r>
        <w:t xml:space="preserve">4. Q1 scorecard (the comp to beat)</w:t>
      </w:r>
    </w:p>
    <w:p>
      <w:pPr>
        <w:pStyle w:val="Compact"/>
        <w:numPr>
          <w:ilvl w:val="0"/>
          <w:numId w:val="1003"/>
        </w:numPr>
      </w:pPr>
      <w:r>
        <w:t xml:space="preserve">Volumes</w:t>
      </w:r>
      <w:r>
        <w:t xml:space="preserve"> </w:t>
      </w:r>
      <w:r>
        <w:rPr>
          <w:b/>
          <w:bCs/>
        </w:rPr>
        <w:t xml:space="preserve">618 Bcfe</w:t>
      </w:r>
      <w:r>
        <w:t xml:space="preserve"> </w:t>
      </w:r>
      <w:r>
        <w:t xml:space="preserve">(above high end), capex</w:t>
      </w:r>
      <w:r>
        <w:t xml:space="preserve"> </w:t>
      </w:r>
      <m:oMath>
        <m:r>
          <m:t>608</m:t>
        </m:r>
        <m:r>
          <m:t>M</m:t>
        </m:r>
        <m:r>
          <m:rPr>
            <m:sty m:val="p"/>
          </m:rPr>
          <m:t>*</m:t>
        </m:r>
        <m:r>
          <m:rPr>
            <m:sty m:val="p"/>
          </m:rPr>
          <m:t>*</m:t>
        </m:r>
        <m:r>
          <m:rPr>
            <m:sty m:val="p"/>
          </m:rPr>
          <m:t>(</m:t>
        </m:r>
        <m:r>
          <m:t>4</m:t>
        </m:r>
      </m:oMath>
      <w:r>
        <w:rPr>
          <w:b/>
          <w:bCs/>
        </w:rPr>
        <w:t xml:space="preserve">5.08/Mcfe</w:t>
      </w:r>
      <w:r>
        <w:t xml:space="preserve">, op costs</w:t>
      </w:r>
      <w:r>
        <w:t xml:space="preserve"> </w:t>
      </w:r>
      <w:r>
        <w:rPr>
          <w:b/>
          <w:bCs/>
        </w:rPr>
        <w:t xml:space="preserve">$1.09/Mcfe</w:t>
      </w:r>
      <w:r>
        <w:t xml:space="preserve">.</w:t>
      </w:r>
    </w:p>
    <w:p>
      <w:pPr>
        <w:pStyle w:val="Compact"/>
        <w:numPr>
          <w:ilvl w:val="0"/>
          <w:numId w:val="1003"/>
        </w:numPr>
      </w:pPr>
      <w:r>
        <w:rPr>
          <w:b/>
          <w:bCs/>
        </w:rPr>
        <w:t xml:space="preserve">Adjusted EPS $2.33</w:t>
      </w:r>
      <w:r>
        <w:t xml:space="preserve"> </w:t>
      </w:r>
      <w:r>
        <w:t xml:space="preserve">(vs.</w:t>
      </w:r>
      <w:r>
        <w:t xml:space="preserve"> </w:t>
      </w:r>
      <m:oMath>
        <m:r>
          <m:t>1.18</m:t>
        </m:r>
        <m:r>
          <m:t>y</m:t>
        </m:r>
        <m:r>
          <m:rPr>
            <m:sty m:val="p"/>
          </m:rPr>
          <m:t>/</m:t>
        </m:r>
        <m:r>
          <m:t>y</m:t>
        </m:r>
        <m:r>
          <m:rPr>
            <m:sty m:val="p"/>
          </m:rPr>
          <m:t>)</m:t>
        </m:r>
        <m:r>
          <m:rPr>
            <m:sty m:val="p"/>
          </m:rPr>
          <m:t>;</m:t>
        </m:r>
        <m:r>
          <m:t>A</m:t>
        </m:r>
        <m:r>
          <m:t>d</m:t>
        </m:r>
        <m:r>
          <m:t>j</m:t>
        </m:r>
        <m:r>
          <m:t>u</m:t>
        </m:r>
        <m:r>
          <m:t>s</m:t>
        </m:r>
        <m:r>
          <m:t>t</m:t>
        </m:r>
        <m:r>
          <m:t>e</m:t>
        </m:r>
        <m:r>
          <m:t>d</m:t>
        </m:r>
        <m:r>
          <m:t>E</m:t>
        </m:r>
        <m:r>
          <m:t>B</m:t>
        </m:r>
        <m:r>
          <m:t>I</m:t>
        </m:r>
        <m:r>
          <m:t>T</m:t>
        </m:r>
        <m:r>
          <m:t>D</m:t>
        </m:r>
        <m:r>
          <m:t>A</m:t>
        </m:r>
        <m:r>
          <m:rPr>
            <m:sty m:val="p"/>
          </m:rPr>
          <m:t>*</m:t>
        </m:r>
        <m:r>
          <m:rPr>
            <m:sty m:val="p"/>
          </m:rPr>
          <m:t>*</m:t>
        </m:r>
      </m:oMath>
      <w:r>
        <w:t xml:space="preserve">2.68B**;</w:t>
      </w:r>
      <w:r>
        <w:t xml:space="preserve"> </w:t>
      </w:r>
      <w:r>
        <w:rPr>
          <w:b/>
          <w:bCs/>
        </w:rPr>
        <w:t xml:space="preserve">record FCF attributable to EQT of $1.83B</w:t>
      </w:r>
      <w:r>
        <w:t xml:space="preserve">.</w:t>
      </w:r>
    </w:p>
    <w:p>
      <w:pPr>
        <w:pStyle w:val="Compact"/>
        <w:numPr>
          <w:ilvl w:val="0"/>
          <w:numId w:val="1003"/>
        </w:numPr>
      </w:pPr>
      <w:r>
        <w:t xml:space="preserve">Balance sheet: total debt $6.0B, net debt</w:t>
      </w:r>
      <w:r>
        <w:t xml:space="preserve"> </w:t>
      </w:r>
      <m:oMath>
        <m:r>
          <m:t>5.7</m:t>
        </m:r>
        <m:r>
          <m:t>B</m:t>
        </m:r>
        <m:r>
          <m:rPr>
            <m:sty m:val="p"/>
          </m:rPr>
          <m:t>;</m:t>
        </m:r>
        <m:r>
          <m:t>r</m:t>
        </m:r>
        <m:r>
          <m:t>e</m:t>
        </m:r>
        <m:r>
          <m:t>t</m:t>
        </m:r>
        <m:r>
          <m:t>i</m:t>
        </m:r>
        <m:r>
          <m:t>r</m:t>
        </m:r>
        <m:r>
          <m:t>e</m:t>
        </m:r>
        <m:r>
          <m:t>d</m:t>
        </m:r>
        <m:r>
          <m:rPr>
            <m:sty m:val="p"/>
          </m:rPr>
          <m:t>&gt;</m:t>
        </m:r>
      </m:oMath>
      <w:r>
        <w:t xml:space="preserve">1.7B of senior notes in the quarter.</w:t>
      </w:r>
    </w:p>
    <w:p>
      <w:pPr>
        <w:pStyle w:val="FirstParagraph"/>
      </w:pPr>
      <w:r>
        <w:t xml:space="preserve">Q2 will not repeat this — seasonally lower prices, peak capex, and curtailments all compress the sequential comparison.</w:t>
      </w:r>
      <w:r>
        <w:t xml:space="preserve"> </w:t>
      </w:r>
      <w:r>
        <w:rPr>
          <w:b/>
          <w:bCs/>
        </w:rPr>
        <w:t xml:space="preserve">Frame expectations sequentially lower on EPS/FCF, but that is by design.</w:t>
      </w:r>
      <w:r>
        <w:t xml:space="preserve"> </w:t>
      </w:r>
      <w:r>
        <w:t xml:space="preserve">The quality signal will be cost control (per-unit costs), capital efficiency, and continued debt reduction.</w:t>
      </w:r>
    </w:p>
    <w:p>
      <w:r>
        <w:pict>
          <v:rect style="width:0;height:1.5pt" o:hralign="center" o:hrstd="t" o:hr="t"/>
        </w:pict>
      </w:r>
    </w:p>
    <w:bookmarkEnd w:id="14"/>
    <w:bookmarkStart w:id="15" w:name="Xd561f09576a982001a653456ed31de82f89e86b"/>
    <w:p>
      <w:pPr>
        <w:pStyle w:val="Heading2"/>
      </w:pPr>
      <w:r>
        <w:t xml:space="preserve">5. Risks / watch-items into the print</w:t>
      </w:r>
    </w:p>
    <w:p>
      <w:pPr>
        <w:pStyle w:val="Compact"/>
        <w:numPr>
          <w:ilvl w:val="0"/>
          <w:numId w:val="1004"/>
        </w:numPr>
      </w:pPr>
      <w:r>
        <w:rPr>
          <w:b/>
          <w:bCs/>
        </w:rPr>
        <w:t xml:space="preserve">Domestic gas price weakness</w:t>
      </w:r>
      <w:r>
        <w:t xml:space="preserve">: the biggest overhang. EQT's near-term earnings are still overwhelmingly levered to Henry Hub/Appalachian basis, and the global shock isn't helping U.S. prices. Basis and differential guidance commentary matters.</w:t>
      </w:r>
    </w:p>
    <w:p>
      <w:pPr>
        <w:pStyle w:val="Compact"/>
        <w:numPr>
          <w:ilvl w:val="0"/>
          <w:numId w:val="1004"/>
        </w:numPr>
      </w:pPr>
      <w:r>
        <w:rPr>
          <w:b/>
          <w:bCs/>
        </w:rPr>
        <w:t xml:space="preserve">Curtailment optics</w:t>
      </w:r>
      <w:r>
        <w:t xml:space="preserve">: soft headline volumes could be misread by algos even if strategically sound.</w:t>
      </w:r>
    </w:p>
    <w:p>
      <w:pPr>
        <w:pStyle w:val="Compact"/>
        <w:numPr>
          <w:ilvl w:val="0"/>
          <w:numId w:val="1004"/>
        </w:numPr>
      </w:pPr>
      <w:r>
        <w:rPr>
          <w:b/>
          <w:bCs/>
        </w:rPr>
        <w:t xml:space="preserve">Demand-deal timing slippage</w:t>
      </w:r>
      <w:r>
        <w:t xml:space="preserve">: if the "second half" data-center/power signings keep sliding, the growth narrative loses momentum and the stock stays range-bound.</w:t>
      </w:r>
    </w:p>
    <w:p>
      <w:pPr>
        <w:pStyle w:val="Compact"/>
        <w:numPr>
          <w:ilvl w:val="0"/>
          <w:numId w:val="1004"/>
        </w:numPr>
      </w:pPr>
      <w:r>
        <w:rPr>
          <w:b/>
          <w:bCs/>
        </w:rPr>
        <w:t xml:space="preserve">Growth capex creep</w:t>
      </w:r>
      <w:r>
        <w:t xml:space="preserve">: peak-quarter spend gives room for a miss; watch that H2 step-down is reaffirmed.</w:t>
      </w:r>
    </w:p>
    <w:p>
      <w:pPr>
        <w:pStyle w:val="Compact"/>
        <w:numPr>
          <w:ilvl w:val="0"/>
          <w:numId w:val="1004"/>
        </w:numPr>
      </w:pPr>
      <w:r>
        <w:rPr>
          <w:b/>
          <w:bCs/>
        </w:rPr>
        <w:t xml:space="preserve">Permitting/infrastructure</w:t>
      </w:r>
      <w:r>
        <w:t xml:space="preserve">: management is banking on permitting reform and egress build-outs; regulatory commentary is a swing factor for the multi-year thesis.</w:t>
      </w:r>
    </w:p>
    <w:p>
      <w:r>
        <w:pict>
          <v:rect style="width:0;height:1.5pt" o:hralign="center" o:hrstd="t" o:hr="t"/>
        </w:pict>
      </w:r>
    </w:p>
    <w:bookmarkEnd w:id="15"/>
    <w:bookmarkStart w:id="16" w:name="Xd4bf6205a9bfa183b58f00ca467c208cbf0bac7"/>
    <w:p>
      <w:pPr>
        <w:pStyle w:val="Heading2"/>
      </w:pPr>
      <w:r>
        <w:t xml:space="preserve">6. Bottom line for investors</w:t>
      </w:r>
    </w:p>
    <w:p>
      <w:pPr>
        <w:pStyle w:val="FirstParagraph"/>
      </w:pPr>
      <w:r>
        <w:t xml:space="preserve">The financial-risk chapter is effectively closed:</w:t>
      </w:r>
      <w:r>
        <w:t xml:space="preserve"> </w:t>
      </w:r>
      <w:r>
        <w:rPr>
          <w:b/>
          <w:bCs/>
        </w:rPr>
        <w:t xml:space="preserve">&lt;1x leverage, BBB, near the $5B net-debt target, record FCF</w:t>
      </w:r>
      <w:r>
        <w:t xml:space="preserve">. That means this print is less about the quarter's numbers (which will look softer sequentially by design) and more about</w:t>
      </w:r>
      <w:r>
        <w:t xml:space="preserve"> </w:t>
      </w:r>
      <w:r>
        <w:rPr>
          <w:b/>
          <w:bCs/>
        </w:rPr>
        <w:t xml:space="preserve">forward optionality</w:t>
      </w:r>
      <w:r>
        <w:t xml:space="preserve">: (1) any concrete Appalachian power/data-center or midstream deal, (2) a shift toward buybacks now that debt paydown is nearly done, (3) a possible favorable FY volume revision, and (4) incremental LNG color. With the stock ~28% off its highs on gas-price malaise, the risk/reward hinges on whether management can convert the "demand-pull" narrative into signed contracts — the numbers alone won't be the story.</w:t>
      </w:r>
    </w:p>
    <w:p>
      <w:r>
        <w:pict>
          <v:rect style="width:0;height:1.5pt" o:hralign="center" o:hrstd="t" o:hr="t"/>
        </w:pict>
      </w:r>
    </w:p>
    <w:p>
      <w:pPr>
        <w:pStyle w:val="FirstParagraph"/>
      </w:pPr>
      <w:r>
        <w:rPr>
          <w:i/>
          <w:iCs/>
        </w:rPr>
        <w:t xml:space="preserve">Sources: EQT Q1 2026 earnings release and Q1 2026 earnings call transcript; daily energy-macro news (7/20/26); EQT daily closing prices (1/2/26–7/20/26). Consensus estimates were not independently verifiable in the sources available, so this preview is anchored to company guidance rather than a specific Street EPS/FCF number — worth cross-checking against your consensus feed before the print.</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2026-07-21T02:00:39Z</dcterms:created>
  <dcterms:modified xsi:type="dcterms:W3CDTF">2026-07-21T02:00:39Z</dcterms:modified>
</cp:coreProperties>
</file>

<file path=docProps/custom.xml><?xml version="1.0" encoding="utf-8"?>
<Properties xmlns="http://schemas.openxmlformats.org/officeDocument/2006/custom-properties" xmlns:vt="http://schemas.openxmlformats.org/officeDocument/2006/docPropsVTypes"/>
</file>