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eqt-q2-2026-earnings-preview"/>
    <w:p>
      <w:pPr>
        <w:pStyle w:val="Heading1"/>
      </w:pPr>
      <w:r>
        <w:t xml:space="preserve">EQT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EQT is scheduled to release Q2 results</w:t>
      </w:r>
      <w:r>
        <w:t xml:space="preserve"> </w:t>
      </w:r>
      <w:r>
        <w:rPr>
          <w:b/>
          <w:bCs/>
        </w:rPr>
        <w:t xml:space="preserve">after the market closes today, Tuesday, July 21, 2026</w:t>
      </w:r>
      <w:r>
        <w:t xml:space="preserve">. The earnings call is</w:t>
      </w:r>
      <w:r>
        <w:t xml:space="preserve"> </w:t>
      </w:r>
      <w:r>
        <w:rPr>
          <w:b/>
          <w:bCs/>
        </w:rPr>
        <w:t xml:space="preserve">tomorrow, Wednesday, July 22, at 10:00 a.m. ET</w:t>
      </w:r>
      <w:r>
        <w:t xml:space="preserve">. (</w:t>
      </w:r>
      <w:hyperlink r:id="rId9">
        <w:r>
          <w:rPr>
            <w:rStyle w:val="Hyperlink"/>
          </w:rPr>
          <w:t xml:space="preserve">ir.eqt.com</w:t>
        </w:r>
      </w:hyperlink>
      <w:r>
        <w:t xml:space="preserve">)</w:t>
      </w:r>
    </w:p>
    <w:bookmarkStart w:id="1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EQT’s headline earnings will fall sharply from its exceptional first quarter as natural-gas prices normalized and second-quarter capital spending reached its planned annual peak. That decline is well understood.</w:t>
      </w:r>
    </w:p>
    <w:p>
      <w:pPr>
        <w:pStyle w:val="BodyText"/>
      </w:pPr>
      <w:r>
        <w:t xml:space="preserve">The more important questions are: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EQT deliver production and costs within guidance despite curtailments?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much free cash flow remained after peak Q2 capital spending?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close is net debt to management’s $5 billion long-term target?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Will full-year production and capital guidance hold?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will EQT do with cash once deleveraging is complete?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Are its Appalachian power, data-center and pipeline opportunities becoming contracted projects?</w:t>
      </w:r>
    </w:p>
    <w:p>
      <w:pPr>
        <w:pStyle w:val="FirstParagraph"/>
      </w:pPr>
      <w:r>
        <w:t xml:space="preserve">The stock’s reaction is therefore likely to depend more on</w:t>
      </w:r>
      <w:r>
        <w:t xml:space="preserve"> </w:t>
      </w:r>
      <w:r>
        <w:rPr>
          <w:b/>
          <w:bCs/>
        </w:rPr>
        <w:t xml:space="preserve">free cash flow, leverage, second-half guidance and project commentary</w:t>
      </w:r>
      <w:r>
        <w:t xml:space="preserve"> </w:t>
      </w:r>
      <w:r>
        <w:t xml:space="preserve">than on reported EPS.</w:t>
      </w:r>
    </w:p>
    <w:p>
      <w:r>
        <w:pict>
          <v:rect style="width:0;height:1.5pt" o:hralign="center" o:hrstd="t" o:hr="t"/>
        </w:pict>
      </w:r>
    </w:p>
    <w:bookmarkEnd w:id="10"/>
    <w:bookmarkStart w:id="13" w:name="expectations-and-known-figures"/>
    <w:p>
      <w:pPr>
        <w:pStyle w:val="Heading2"/>
      </w:pPr>
      <w:r>
        <w:t xml:space="preserve">Expectations and known figures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expectation or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$0.41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Approximately</w:t>
            </w:r>
            <w:r>
              <w:t xml:space="preserve"> </w:t>
            </w:r>
            <w:r>
              <w:rPr>
                <w:b/>
                <w:bCs/>
              </w:rPr>
              <w:t xml:space="preserve">$1.84 billion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Sales volume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570–620 Bcfe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Strategic curtailments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10–15 Bcfe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costs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1.03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1.17/Mcfe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Maintenance capital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525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595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Growth capital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210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235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indicated capital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735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830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Wells turned in line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30–45 net wells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differential, including basis hedges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rPr>
                  <m:sty m:val="p"/>
                </m:rPr>
                <m:t>(</m:t>
              </m:r>
              <m:r>
                <m:t>0.75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(0.65)/Mcf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Preliminary derivative gain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$45 million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derivative cash receipts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$73 million</w:t>
            </w:r>
          </w:p>
        </w:tc>
      </w:tr>
    </w:tbl>
    <w:p>
      <w:pPr>
        <w:pStyle w:val="BodyText"/>
      </w:pPr>
      <w:r>
        <w:t xml:space="preserve">Consensus services are not uniform—some put adjusted EPS closer to $0.47 and revenue near $1.90 billion—but roughly $0.41 and $1.84 billion appear to be the more widely quoted figures. Revenue is also a relatively noisy measure for EQT because derivative accounting can materially affect reported results. (</w:t>
      </w:r>
      <w:hyperlink r:id="rId11">
        <w:r>
          <w:rPr>
            <w:rStyle w:val="Hyperlink"/>
          </w:rPr>
          <w:t xml:space="preserve">zacks.com</w:t>
        </w:r>
      </w:hyperlink>
      <w:r>
        <w:t xml:space="preserve">)</w:t>
      </w:r>
    </w:p>
    <w:p>
      <w:pPr>
        <w:pStyle w:val="BodyText"/>
      </w:pPr>
      <w:r>
        <w:t xml:space="preserve">EQT has already disclosed that it expects a</w:t>
      </w:r>
      <w:r>
        <w:t xml:space="preserve"> </w:t>
      </w:r>
      <m:oMath>
        <m:r>
          <m:t>45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d</m:t>
        </m:r>
        <m:r>
          <m:t>e</m:t>
        </m:r>
        <m:r>
          <m:t>r</m:t>
        </m:r>
        <m:r>
          <m:t>i</m:t>
        </m:r>
        <m:r>
          <m:t>v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g</m:t>
        </m:r>
        <m:r>
          <m:t>a</m:t>
        </m:r>
        <m:r>
          <m:t>i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76 million received from NYMEX natural-gas hedges</w:t>
      </w:r>
      <w:r>
        <w:t xml:space="preserve">, partly offset by</w:t>
      </w:r>
      <w:r>
        <w:t xml:space="preserve"> </w:t>
      </w:r>
      <m:oMath>
        <m:r>
          <m:t>3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p</m:t>
        </m:r>
        <m:r>
          <m:t>a</m:t>
        </m:r>
        <m:r>
          <m:t>i</m:t>
        </m:r>
        <m:r>
          <m:t>d</m:t>
        </m:r>
        <m:r>
          <m:t>o</m:t>
        </m:r>
        <m:r>
          <m:t>n</m:t>
        </m:r>
        <m:r>
          <m:t>b</m:t>
        </m:r>
        <m:r>
          <m:t>a</m:t>
        </m:r>
        <m:r>
          <m:t>s</m:t>
        </m:r>
        <m:r>
          <m:t>i</m:t>
        </m:r>
        <m:r>
          <m:t>s</m:t>
        </m:r>
        <m:r>
          <m:t>a</m:t>
        </m:r>
        <m:r>
          <m:t>n</m:t>
        </m:r>
        <m:r>
          <m:t>d</m:t>
        </m:r>
        <m:r>
          <m:t>l</m:t>
        </m:r>
        <m:r>
          <m:t>i</m:t>
        </m:r>
        <m:r>
          <m:t>q</m:t>
        </m:r>
        <m:r>
          <m:t>u</m:t>
        </m:r>
        <m:r>
          <m:t>i</m:t>
        </m:r>
        <m:r>
          <m:t>d</m:t>
        </m:r>
        <m:r>
          <m:t>s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,</m:t>
        </m:r>
        <m:r>
          <m:t>f</m:t>
        </m:r>
        <m:r>
          <m:t>o</m:t>
        </m:r>
        <m:r>
          <m:t>r</m:t>
        </m:r>
        <m:r>
          <m:t>n</m:t>
        </m:r>
        <m:r>
          <m:t>e</m:t>
        </m:r>
        <m:r>
          <m:t>t</m:t>
        </m:r>
        <m:r>
          <m:t>c</m:t>
        </m:r>
        <m:r>
          <m:t>a</m:t>
        </m:r>
        <m:r>
          <m:t>s</m:t>
        </m:r>
        <m:r>
          <m:t>h</m:t>
        </m:r>
        <m:r>
          <m:t>d</m:t>
        </m:r>
        <m:r>
          <m:t>e</m:t>
        </m:r>
        <m:r>
          <m:t>r</m:t>
        </m:r>
        <m:r>
          <m:t>i</m:t>
        </m:r>
        <m:r>
          <m:t>v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e</m:t>
        </m:r>
        <m:r>
          <m:t>i</m:t>
        </m:r>
        <m:r>
          <m:t>p</m:t>
        </m:r>
        <m:r>
          <m:t>t</m:t>
        </m:r>
        <m:r>
          <m:t>s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73 million**. That removes one potential source of earnings-day surprise. (</w:t>
      </w:r>
      <w:hyperlink r:id="rId12">
        <w:r>
          <w:rPr>
            <w:rStyle w:val="Hyperlink"/>
          </w:rPr>
          <w:t xml:space="preserve">sec.gov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3"/>
    <w:bookmarkStart w:id="14" w:name="X01ab693593e335a54a6a0ed7042d97d97c1f5d2"/>
    <w:p>
      <w:pPr>
        <w:pStyle w:val="Heading2"/>
      </w:pPr>
      <w:r>
        <w:t xml:space="preserve">1. Production: distinguish optimization from underperformance</w:t>
      </w:r>
    </w:p>
    <w:p>
      <w:pPr>
        <w:pStyle w:val="FirstParagraph"/>
      </w:pPr>
      <w:r>
        <w:t xml:space="preserve">The production guide is unusually wide at</w:t>
      </w:r>
      <w:r>
        <w:t xml:space="preserve"> </w:t>
      </w:r>
      <w:r>
        <w:rPr>
          <w:b/>
          <w:bCs/>
        </w:rPr>
        <w:t xml:space="preserve">570–620 Bcfe</w:t>
      </w:r>
      <w:r>
        <w:t xml:space="preserve"> </w:t>
      </w:r>
      <w:r>
        <w:t xml:space="preserve">and includes</w:t>
      </w:r>
      <w:r>
        <w:t xml:space="preserve"> </w:t>
      </w:r>
      <w:r>
        <w:rPr>
          <w:b/>
          <w:bCs/>
        </w:rPr>
        <w:t xml:space="preserve">10–15 Bcfe of strategic curtailments</w:t>
      </w:r>
      <w:r>
        <w:t xml:space="preserve">. The midpoint implies approximately 6.5 Bcfe per day.</w:t>
      </w:r>
    </w:p>
    <w:p>
      <w:pPr>
        <w:pStyle w:val="BodyText"/>
      </w:pPr>
      <w:r>
        <w:t xml:space="preserve">A result in the upper half of the range would reinforce the operational momentum seen in Q1, when EQT produced 618 Bcfe—above guidance—despite severe winter weather. A result near the bottom is not necessarily negative if management can demonstrate that additional curtailments created economic value by shifting production into better-priced periods.</w:t>
      </w:r>
    </w:p>
    <w:p>
      <w:pPr>
        <w:pStyle w:val="BodyText"/>
      </w:pPr>
      <w:r>
        <w:t xml:space="preserve">The key distinction is: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Bullish:</w:t>
      </w:r>
      <w:r>
        <w:t xml:space="preserve"> </w:t>
      </w:r>
      <w:r>
        <w:t xml:space="preserve">lower volumes because EQT intentionally withheld low-margin gas.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Bearish:</w:t>
      </w:r>
      <w:r>
        <w:t xml:space="preserve"> </w:t>
      </w:r>
      <w:r>
        <w:t xml:space="preserve">lower volumes because of well performance, downtime, infrastructure limitations or delayed turn-in-lines.</w:t>
      </w:r>
    </w:p>
    <w:p>
      <w:pPr>
        <w:pStyle w:val="FirstParagraph"/>
      </w:pPr>
      <w:r>
        <w:t xml:space="preserve">Investors should also listen for possible</w:t>
      </w:r>
      <w:r>
        <w:t xml:space="preserve"> </w:t>
      </w:r>
      <w:r>
        <w:rPr>
          <w:b/>
          <w:bCs/>
        </w:rPr>
        <w:t xml:space="preserve">additional fall curtailments</w:t>
      </w:r>
      <w:r>
        <w:t xml:space="preserve">. Management previously described shut-ins as “synthetic storage,” with potentially greater value before the winter-pricing period.</w:t>
      </w:r>
    </w:p>
    <w:p>
      <w:r>
        <w:pict>
          <v:rect style="width:0;height:1.5pt" o:hralign="center" o:hrstd="t" o:hr="t"/>
        </w:pict>
      </w:r>
    </w:p>
    <w:bookmarkEnd w:id="14"/>
    <w:bookmarkStart w:id="16" w:name="X0c9081c094f6bf7c3374ac8f677716bade24af9"/>
    <w:p>
      <w:pPr>
        <w:pStyle w:val="Heading2"/>
      </w:pPr>
      <w:r>
        <w:t xml:space="preserve">2. Realized pricing will explain most of the sequential earnings decline</w:t>
      </w:r>
    </w:p>
    <w:p>
      <w:pPr>
        <w:pStyle w:val="FirstParagraph"/>
      </w:pPr>
      <w:r>
        <w:t xml:space="preserve">Q1 benefited from extraordinary winter pricing: EQT realized</w:t>
      </w:r>
      <w:r>
        <w:t xml:space="preserve"> </w:t>
      </w:r>
      <w:r>
        <w:rPr>
          <w:b/>
          <w:bCs/>
        </w:rPr>
        <w:t xml:space="preserve">$5.08/Mcfe</w:t>
      </w:r>
      <w:r>
        <w:t xml:space="preserve">, including settled derivatives. By contrast, Henry Hub averaged approximately $2.77 in April, $2.94 in May and $3.15 in June, or roughly $2.95/MMBtu for Q2. (</w:t>
      </w:r>
      <w:hyperlink r:id="rId15">
        <w:r>
          <w:rPr>
            <w:rStyle w:val="Hyperlink"/>
          </w:rPr>
          <w:t xml:space="preserve">eia.gov</w:t>
        </w:r>
      </w:hyperlink>
      <w:r>
        <w:t xml:space="preserve">)</w:t>
      </w:r>
    </w:p>
    <w:p>
      <w:pPr>
        <w:pStyle w:val="BodyText"/>
      </w:pPr>
      <w:r>
        <w:t xml:space="preserve">Q2 guidance also calls for a much weaker</w:t>
      </w:r>
      <w:r>
        <w:t xml:space="preserve"> </w:t>
      </w:r>
      <m:oMath>
        <m:r>
          <m:rPr>
            <m:sty m:val="p"/>
          </m:rPr>
          <m:t>(</m:t>
        </m:r>
        <m:r>
          <m:t>0.75</m:t>
        </m:r>
        <m:r>
          <m:rPr>
            <m:sty m:val="p"/>
          </m:rPr>
          <m:t>)</m:t>
        </m:r>
        <m:r>
          <m:rPr>
            <m:sty m:val="p"/>
          </m:rPr>
          <m:t>–</m:t>
        </m:r>
      </m:oMath>
      <w:r>
        <w:rPr>
          <w:b/>
          <w:bCs/>
        </w:rPr>
        <w:t xml:space="preserve">(0.65)/Mcf differential</w:t>
      </w:r>
      <w:r>
        <w:t xml:space="preserve">, versus a positive differential in Q1. The $73 million hedge receipt should cushion this pressure, but it will not replicate Q1’s unusually strong commodity-price environment.</w:t>
      </w:r>
    </w:p>
    <w:p>
      <w:pPr>
        <w:pStyle w:val="BodyText"/>
      </w:pPr>
      <w:r>
        <w:t xml:space="preserve">Accordingly, investors should focus on three components rather than the reported average alone:</w:t>
      </w:r>
    </w:p>
    <w:p>
      <w:pPr>
        <w:pStyle w:val="Compact"/>
        <w:numPr>
          <w:ilvl w:val="0"/>
          <w:numId w:val="1003"/>
        </w:numPr>
      </w:pPr>
      <w:r>
        <w:t xml:space="preserve">The underlying NYMEX benchmark.</w:t>
      </w:r>
    </w:p>
    <w:p>
      <w:pPr>
        <w:pStyle w:val="Compact"/>
        <w:numPr>
          <w:ilvl w:val="0"/>
          <w:numId w:val="1003"/>
        </w:numPr>
      </w:pPr>
      <w:r>
        <w:t xml:space="preserve">Appalachian basis and transportation realization.</w:t>
      </w:r>
    </w:p>
    <w:p>
      <w:pPr>
        <w:pStyle w:val="Compact"/>
        <w:numPr>
          <w:ilvl w:val="0"/>
          <w:numId w:val="1003"/>
        </w:numPr>
      </w:pPr>
      <w:r>
        <w:t xml:space="preserve">Cash hedge settlements.</w:t>
      </w:r>
    </w:p>
    <w:p>
      <w:pPr>
        <w:pStyle w:val="FirstParagraph"/>
      </w:pPr>
      <w:r>
        <w:t xml:space="preserve">A realization better than implied by the midpoint of differential guidance would be a meaningful positive, particularly if it reflects marketing or transportation optimization rather than one-time effects.</w:t>
      </w:r>
    </w:p>
    <w:p>
      <w:r>
        <w:pict>
          <v:rect style="width:0;height:1.5pt" o:hralign="center" o:hrstd="t" o:hr="t"/>
        </w:pict>
      </w:r>
    </w:p>
    <w:bookmarkEnd w:id="16"/>
    <w:bookmarkStart w:id="18" w:name="Xb837a05bf25b2a649b77f0d197e8b8a26beec2a"/>
    <w:p>
      <w:pPr>
        <w:pStyle w:val="Heading2"/>
      </w:pPr>
      <w:r>
        <w:t xml:space="preserve">3. Free cash flow matters more than EPS</w:t>
      </w:r>
    </w:p>
    <w:p>
      <w:pPr>
        <w:pStyle w:val="FirstParagraph"/>
      </w:pPr>
      <w:r>
        <w:t xml:space="preserve">EQT generated a record</w:t>
      </w:r>
      <w:r>
        <w:t xml:space="preserve"> </w:t>
      </w:r>
      <m:oMath>
        <m:r>
          <m:t>1.83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f</m:t>
        </m:r>
        <m:r>
          <m:t>r</m:t>
        </m:r>
        <m:r>
          <m:t>e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a</m:t>
        </m:r>
        <m:r>
          <m:t>t</m:t>
        </m:r>
        <m:r>
          <m:t>t</m:t>
        </m:r>
        <m:r>
          <m:t>r</m:t>
        </m:r>
        <m:r>
          <m:t>i</m:t>
        </m:r>
        <m:r>
          <m:t>b</m:t>
        </m:r>
        <m:r>
          <m:t>u</m:t>
        </m:r>
        <m:r>
          <m:t>t</m:t>
        </m:r>
        <m:r>
          <m:t>a</m:t>
        </m:r>
        <m:r>
          <m:t>b</m:t>
        </m:r>
        <m:r>
          <m:t>l</m:t>
        </m:r>
        <m:r>
          <m:t>e</m:t>
        </m:r>
        <m:r>
          <m:t>t</m:t>
        </m:r>
        <m:r>
          <m:t>o</m:t>
        </m:r>
        <m:r>
          <m:t>E</m:t>
        </m:r>
        <m:r>
          <m:t>Q</m:t>
        </m:r>
        <m:r>
          <m:t>T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h</m:t>
        </m:r>
        <m:r>
          <m:t>e</m:t>
        </m:r>
        <m:r>
          <m:t>l</m:t>
        </m:r>
        <m:r>
          <m:t>p</m:t>
        </m:r>
        <m:r>
          <m:t>e</m:t>
        </m:r>
        <m:r>
          <m:t>d</m:t>
        </m:r>
        <m:r>
          <m:t>b</m:t>
        </m:r>
        <m:r>
          <m:t>y</m:t>
        </m:r>
        <m:r>
          <m:t>h</m:t>
        </m:r>
        <m:r>
          <m:t>i</m:t>
        </m:r>
        <m:r>
          <m:t>g</m:t>
        </m:r>
        <m:r>
          <m:t>h</m:t>
        </m:r>
        <m:r>
          <m:t>w</m:t>
        </m:r>
        <m:r>
          <m:t>i</m:t>
        </m:r>
        <m:r>
          <m:t>n</m:t>
        </m:r>
        <m:r>
          <m:t>t</m:t>
        </m:r>
        <m:r>
          <m:t>e</m:t>
        </m:r>
        <m:r>
          <m:t>r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s</m:t>
        </m:r>
        <m:r>
          <m:t>a</m:t>
        </m:r>
        <m:r>
          <m:t>n</m:t>
        </m:r>
        <m:r>
          <m:t>d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s</m:t>
        </m:r>
        <m:r>
          <m:t>p</m:t>
        </m:r>
        <m:r>
          <m:t>e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b</m:t>
        </m:r>
        <m:r>
          <m:t>e</m:t>
        </m:r>
        <m:r>
          <m:t>l</m:t>
        </m:r>
        <m:r>
          <m:t>o</m:t>
        </m:r>
        <m:r>
          <m:t>w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.</m:t>
        </m:r>
        <m:r>
          <m:t>Q</m:t>
        </m:r>
        <m:r>
          <m:t>2</m:t>
        </m:r>
        <m:r>
          <m:t>w</m:t>
        </m:r>
        <m:r>
          <m:t>i</m:t>
        </m:r>
        <m:r>
          <m:t>l</m:t>
        </m:r>
        <m:r>
          <m:t>l</m:t>
        </m:r>
        <m:r>
          <m:t>b</m:t>
        </m:r>
        <m:r>
          <m:t>e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w</m:t>
        </m:r>
        <m:r>
          <m:t>e</m:t>
        </m:r>
        <m:r>
          <m:t>a</m:t>
        </m:r>
        <m:r>
          <m:t>k</m:t>
        </m:r>
        <m:r>
          <m:t>e</m:t>
        </m:r>
        <m:r>
          <m:t>r</m:t>
        </m:r>
        <m:r>
          <m:t>b</m:t>
        </m:r>
        <m:r>
          <m:t>e</m:t>
        </m:r>
        <m:r>
          <m:t>c</m:t>
        </m:r>
        <m:r>
          <m:t>a</m:t>
        </m:r>
        <m:r>
          <m:t>u</m:t>
        </m:r>
        <m:r>
          <m:t>s</m:t>
        </m:r>
        <m:r>
          <m:t>e</m:t>
        </m:r>
        <m:r>
          <m:t>g</m:t>
        </m:r>
        <m:r>
          <m:t>a</m:t>
        </m:r>
        <m:r>
          <m:t>s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s</m:t>
        </m:r>
        <m:r>
          <m:t>d</m:t>
        </m:r>
        <m:r>
          <m:t>e</m:t>
        </m:r>
        <m:r>
          <m:t>c</m:t>
        </m:r>
        <m:r>
          <m:t>l</m:t>
        </m:r>
        <m:r>
          <m:t>i</m:t>
        </m:r>
        <m:r>
          <m:t>n</m:t>
        </m:r>
        <m:r>
          <m:t>e</m:t>
        </m:r>
        <m:r>
          <m:t>d</m:t>
        </m:r>
        <m:r>
          <m:t>a</m:t>
        </m:r>
        <m:r>
          <m:t>n</m:t>
        </m:r>
        <m:r>
          <m:t>d</m:t>
        </m:r>
        <m:r>
          <m:t>t</m:t>
        </m:r>
        <m:r>
          <m:t>o</m:t>
        </m:r>
        <m:r>
          <m:t>t</m:t>
        </m:r>
        <m:r>
          <m:t>a</m:t>
        </m:r>
        <m:r>
          <m:t>l</m:t>
        </m:r>
        <m:r>
          <m:t>c</m:t>
        </m:r>
        <m:r>
          <m:t>a</m:t>
        </m:r>
        <m:r>
          <m:t>p</m:t>
        </m:r>
        <m:r>
          <m:t>i</m:t>
        </m:r>
        <m:r>
          <m:t>t</m:t>
        </m:r>
        <m:r>
          <m:t>a</m:t>
        </m:r>
        <m:r>
          <m:t>l</m:t>
        </m:r>
        <m:r>
          <m:t>s</m:t>
        </m:r>
        <m:r>
          <m:t>p</m:t>
        </m:r>
        <m:r>
          <m:t>e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w</m:t>
        </m:r>
        <m:r>
          <m:t>a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e</m:t>
        </m:r>
        <m:r>
          <m:t>d</m:t>
        </m:r>
        <m:r>
          <m:t>t</m:t>
        </m:r>
        <m:r>
          <m:t>o</m:t>
        </m:r>
        <m:r>
          <m:t>a</m:t>
        </m:r>
        <m:r>
          <m:t>p</m:t>
        </m:r>
        <m:r>
          <m:t>e</m:t>
        </m:r>
        <m:r>
          <m:t>a</m:t>
        </m:r>
        <m:r>
          <m:t>k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735–$830 million</w:t>
      </w:r>
      <w:r>
        <w:t xml:space="preserve">. (</w:t>
      </w:r>
      <w:hyperlink r:id="rId17">
        <w:r>
          <w:rPr>
            <w:rStyle w:val="Hyperlink"/>
          </w:rPr>
          <w:t xml:space="preserve">ir.eqt.com</w:t>
        </w:r>
      </w:hyperlink>
      <w:r>
        <w:t xml:space="preserve">)</w:t>
      </w:r>
    </w:p>
    <w:p>
      <w:pPr>
        <w:pStyle w:val="BodyText"/>
      </w:pPr>
      <w:r>
        <w:t xml:space="preserve">The absolute Q2 free-cash-flow figure is less important than whether management can confirm that:</w:t>
      </w:r>
    </w:p>
    <w:p>
      <w:pPr>
        <w:pStyle w:val="Compact"/>
        <w:numPr>
          <w:ilvl w:val="0"/>
          <w:numId w:val="1004"/>
        </w:numPr>
      </w:pPr>
      <w:r>
        <w:t xml:space="preserve">Q2 was the annual capital peak.</w:t>
      </w:r>
    </w:p>
    <w:p>
      <w:pPr>
        <w:pStyle w:val="Compact"/>
        <w:numPr>
          <w:ilvl w:val="0"/>
          <w:numId w:val="1004"/>
        </w:numPr>
      </w:pPr>
      <w:r>
        <w:t xml:space="preserve">Capital spending will decline meaningfully in Q3 and Q4.</w:t>
      </w:r>
    </w:p>
    <w:p>
      <w:pPr>
        <w:pStyle w:val="Compact"/>
        <w:numPr>
          <w:ilvl w:val="0"/>
          <w:numId w:val="1004"/>
        </w:numPr>
      </w:pPr>
      <w:r>
        <w:t xml:space="preserve">Full-year maintenance and growth capital guidance remains intact.</w:t>
      </w:r>
    </w:p>
    <w:p>
      <w:pPr>
        <w:pStyle w:val="Compact"/>
        <w:numPr>
          <w:ilvl w:val="0"/>
          <w:numId w:val="1004"/>
        </w:numPr>
      </w:pPr>
      <w:r>
        <w:t xml:space="preserve">Growth projects remain on budget and tied to attractive returns.</w:t>
      </w:r>
    </w:p>
    <w:p>
      <w:pPr>
        <w:pStyle w:val="Compact"/>
        <w:numPr>
          <w:ilvl w:val="0"/>
          <w:numId w:val="1004"/>
        </w:numPr>
      </w:pPr>
      <w:r>
        <w:t xml:space="preserve">Working-capital movements are clearly separated from recurring cash generation.</w:t>
      </w:r>
    </w:p>
    <w:p>
      <w:pPr>
        <w:pStyle w:val="FirstParagraph"/>
      </w:pPr>
      <w:r>
        <w:t xml:space="preserve">A modest quarter of free cash flow can still be constructive if it validates a stronger second-half cash profile. Conversely, capital spending above $830 million or a higher full-year budget would undermine one of the main elements of the investment case.</w:t>
      </w:r>
    </w:p>
    <w:p>
      <w:r>
        <w:pict>
          <v:rect style="width:0;height:1.5pt" o:hralign="center" o:hrstd="t" o:hr="t"/>
        </w:pict>
      </w:r>
    </w:p>
    <w:bookmarkEnd w:id="18"/>
    <w:bookmarkStart w:id="19" w:name="X57fedd1c37d33e7756ef35f3074530946bc78b0"/>
    <w:p>
      <w:pPr>
        <w:pStyle w:val="Heading2"/>
      </w:pPr>
      <w:r>
        <w:t xml:space="preserve">4. The balance sheet could reach an inflection point</w:t>
      </w:r>
    </w:p>
    <w:p>
      <w:pPr>
        <w:pStyle w:val="FirstParagraph"/>
      </w:pPr>
      <w:r>
        <w:t xml:space="preserve">EQT ended Q1 with: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$6.0 billion of total debt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$5.67 billion of net debt</w:t>
      </w:r>
    </w:p>
    <w:p>
      <w:pPr>
        <w:pStyle w:val="Compact"/>
        <w:numPr>
          <w:ilvl w:val="0"/>
          <w:numId w:val="1005"/>
        </w:numPr>
      </w:pPr>
      <w:r>
        <w:t xml:space="preserve">No borrowings under the parent company’s $3.5 billion revolver</w:t>
      </w:r>
    </w:p>
    <w:p>
      <w:pPr>
        <w:pStyle w:val="Compact"/>
        <w:numPr>
          <w:ilvl w:val="0"/>
          <w:numId w:val="1005"/>
        </w:numPr>
      </w:pPr>
      <w:r>
        <w:t xml:space="preserve">A long-term maximum net-debt target of</w:t>
      </w:r>
      <w:r>
        <w:t xml:space="preserve"> </w:t>
      </w:r>
      <w:r>
        <w:rPr>
          <w:b/>
          <w:bCs/>
        </w:rPr>
        <w:t xml:space="preserve">$5 billion</w:t>
      </w:r>
    </w:p>
    <w:p>
      <w:pPr>
        <w:pStyle w:val="FirstParagraph"/>
      </w:pPr>
      <w:r>
        <w:t xml:space="preserve">The company retired more than $1.7 billion of senior notes during Q1 and received a Fitch upgrade to BBB. (</w:t>
      </w:r>
      <w:hyperlink r:id="rId17">
        <w:r>
          <w:rPr>
            <w:rStyle w:val="Hyperlink"/>
          </w:rPr>
          <w:t xml:space="preserve">ir.eqt.com</w:t>
        </w:r>
      </w:hyperlink>
      <w:r>
        <w:t xml:space="preserve">)</w:t>
      </w:r>
    </w:p>
    <w:p>
      <w:pPr>
        <w:pStyle w:val="BodyText"/>
      </w:pPr>
      <w:r>
        <w:t xml:space="preserve">Q2 could bring EQT close enough to the $5 billion target that the discussion shifts from deleveraging to</w:t>
      </w:r>
      <w:r>
        <w:t xml:space="preserve"> </w:t>
      </w:r>
      <w:r>
        <w:rPr>
          <w:b/>
          <w:bCs/>
        </w:rPr>
        <w:t xml:space="preserve">post-target capital allocation</w:t>
      </w:r>
      <w:r>
        <w:t xml:space="preserve">. Investors should look for a clear hierarchy among:</w:t>
      </w:r>
    </w:p>
    <w:p>
      <w:pPr>
        <w:pStyle w:val="Compact"/>
        <w:numPr>
          <w:ilvl w:val="0"/>
          <w:numId w:val="1006"/>
        </w:numPr>
      </w:pPr>
      <w:r>
        <w:t xml:space="preserve">Maintaining the balance-sheet target.</w:t>
      </w:r>
    </w:p>
    <w:p>
      <w:pPr>
        <w:pStyle w:val="Compact"/>
        <w:numPr>
          <w:ilvl w:val="0"/>
          <w:numId w:val="1006"/>
        </w:numPr>
      </w:pPr>
      <w:r>
        <w:t xml:space="preserve">Funding contracted midstream growth.</w:t>
      </w:r>
    </w:p>
    <w:p>
      <w:pPr>
        <w:pStyle w:val="Compact"/>
        <w:numPr>
          <w:ilvl w:val="0"/>
          <w:numId w:val="1006"/>
        </w:numPr>
      </w:pPr>
      <w:r>
        <w:t xml:space="preserve">Growing the base dividend.</w:t>
      </w:r>
    </w:p>
    <w:p>
      <w:pPr>
        <w:pStyle w:val="Compact"/>
        <w:numPr>
          <w:ilvl w:val="0"/>
          <w:numId w:val="1006"/>
        </w:numPr>
      </w:pPr>
      <w:r>
        <w:t xml:space="preserve">Repurchasing shares opportunistically.</w:t>
      </w:r>
    </w:p>
    <w:p>
      <w:pPr>
        <w:pStyle w:val="Compact"/>
        <w:numPr>
          <w:ilvl w:val="0"/>
          <w:numId w:val="1006"/>
        </w:numPr>
      </w:pPr>
      <w:r>
        <w:t xml:space="preserve">Eventually returning to modest upstream growth.</w:t>
      </w:r>
    </w:p>
    <w:p>
      <w:pPr>
        <w:pStyle w:val="FirstParagraph"/>
      </w:pPr>
      <w:r>
        <w:t xml:space="preserve">A firm commitment not to let growth spending re-lever the balance sheet would likely be well received.</w:t>
      </w:r>
    </w:p>
    <w:p>
      <w:r>
        <w:pict>
          <v:rect style="width:0;height:1.5pt" o:hralign="center" o:hrstd="t" o:hr="t"/>
        </w:pict>
      </w:r>
    </w:p>
    <w:bookmarkEnd w:id="19"/>
    <w:bookmarkStart w:id="20" w:name="X704f894cc66ff0da845c086b0482e816ec7e242"/>
    <w:p>
      <w:pPr>
        <w:pStyle w:val="Heading2"/>
      </w:pPr>
      <w:r>
        <w:t xml:space="preserve">5. Full-year guidance has room—but second-half curtailments complicate the picture</w:t>
      </w:r>
    </w:p>
    <w:p>
      <w:pPr>
        <w:pStyle w:val="FirstParagraph"/>
      </w:pPr>
      <w:r>
        <w:t xml:space="preserve">EQT’s full-year production guide is</w:t>
      </w:r>
      <w:r>
        <w:t xml:space="preserve"> </w:t>
      </w:r>
      <w:r>
        <w:rPr>
          <w:b/>
          <w:bCs/>
        </w:rPr>
        <w:t xml:space="preserve">2,275–2,375 Bcfe</w:t>
      </w:r>
      <w:r>
        <w:t xml:space="preserve">. Q1 actual production plus the Q2 midpoint would total about</w:t>
      </w:r>
      <w:r>
        <w:t xml:space="preserve"> </w:t>
      </w:r>
      <w:r>
        <w:rPr>
          <w:b/>
          <w:bCs/>
        </w:rPr>
        <w:t xml:space="preserve">1,213 Bcfe</w:t>
      </w:r>
      <w:r>
        <w:t xml:space="preserve">, already slightly more than half the full-year midpoint.</w:t>
      </w:r>
    </w:p>
    <w:p>
      <w:pPr>
        <w:pStyle w:val="BodyText"/>
      </w:pPr>
      <w:r>
        <w:t xml:space="preserve">That creates some potential for an upward revision, but management has deliberately planned a lower second-half production profile and may curtail additional gas ahead of winter. The strongest outcome may therefore be less about raising volume guidance and more about:</w:t>
      </w:r>
    </w:p>
    <w:p>
      <w:pPr>
        <w:pStyle w:val="Compact"/>
        <w:numPr>
          <w:ilvl w:val="0"/>
          <w:numId w:val="1007"/>
        </w:numPr>
      </w:pPr>
      <w:r>
        <w:t xml:space="preserve">Maintaining or improving free-cash-flow expectations.</w:t>
      </w:r>
    </w:p>
    <w:p>
      <w:pPr>
        <w:pStyle w:val="Compact"/>
        <w:numPr>
          <w:ilvl w:val="0"/>
          <w:numId w:val="1007"/>
        </w:numPr>
      </w:pPr>
      <w:r>
        <w:t xml:space="preserve">Keeping full-year capital unchanged.</w:t>
      </w:r>
    </w:p>
    <w:p>
      <w:pPr>
        <w:pStyle w:val="Compact"/>
        <w:numPr>
          <w:ilvl w:val="0"/>
          <w:numId w:val="1007"/>
        </w:numPr>
      </w:pPr>
      <w:r>
        <w:t xml:space="preserve">Demonstrating that any production reduction is economically motivated.</w:t>
      </w:r>
    </w:p>
    <w:p>
      <w:pPr>
        <w:pStyle w:val="Compact"/>
        <w:numPr>
          <w:ilvl w:val="0"/>
          <w:numId w:val="1007"/>
        </w:numPr>
      </w:pPr>
      <w:r>
        <w:t xml:space="preserve">Preserving the ability to increase winter output when prices are more attractive.</w:t>
      </w:r>
    </w:p>
    <w:p>
      <w:pPr>
        <w:pStyle w:val="FirstParagraph"/>
      </w:pPr>
      <w:r>
        <w:t xml:space="preserve">Investors should avoid treating higher production as automatically positive. For EQT,</w:t>
      </w:r>
      <w:r>
        <w:t xml:space="preserve"> </w:t>
      </w:r>
      <w:r>
        <w:rPr>
          <w:b/>
          <w:bCs/>
        </w:rPr>
        <w:t xml:space="preserve">margin and timing are more important than maximizing quarterly volume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0"/>
    <w:bookmarkStart w:id="21" w:name="X0090fdedfd8cf790b9cb9a7253def60b9c8b918"/>
    <w:p>
      <w:pPr>
        <w:pStyle w:val="Heading2"/>
      </w:pPr>
      <w:r>
        <w:t xml:space="preserve">6. Investors need tangible progress on demand growth</w:t>
      </w:r>
    </w:p>
    <w:p>
      <w:pPr>
        <w:pStyle w:val="FirstParagraph"/>
      </w:pPr>
      <w:r>
        <w:t xml:space="preserve">Management spent much of the Q1 call discussing Appalachian power generation, data centers, pipeline expansions and long-term LNG exposure. EQT said it was evaluating multiple Bcf per day of potential supply opportunities and expected some projects to begin “landing” during the second half of 2026.</w:t>
      </w:r>
    </w:p>
    <w:p>
      <w:pPr>
        <w:pStyle w:val="BodyText"/>
      </w:pPr>
      <w:r>
        <w:t xml:space="preserve">The Q2 call is an opportunity to convert that narrative into measurable milestones. Key areas include:</w:t>
      </w:r>
    </w:p>
    <w:p>
      <w:pPr>
        <w:pStyle w:val="Compact"/>
        <w:numPr>
          <w:ilvl w:val="0"/>
          <w:numId w:val="1008"/>
        </w:numPr>
      </w:pPr>
      <w:r>
        <w:t xml:space="preserve">New long-term gas supply contracts.</w:t>
      </w:r>
    </w:p>
    <w:p>
      <w:pPr>
        <w:pStyle w:val="Compact"/>
        <w:numPr>
          <w:ilvl w:val="0"/>
          <w:numId w:val="1008"/>
        </w:numPr>
      </w:pPr>
      <w:r>
        <w:t xml:space="preserve">Progress at Homer City and Shippingport.</w:t>
      </w:r>
    </w:p>
    <w:p>
      <w:pPr>
        <w:pStyle w:val="Compact"/>
        <w:numPr>
          <w:ilvl w:val="0"/>
          <w:numId w:val="1008"/>
        </w:numPr>
      </w:pPr>
      <w:r>
        <w:t xml:space="preserve">The Clarington Connector and access to Ohio demand.</w:t>
      </w:r>
    </w:p>
    <w:p>
      <w:pPr>
        <w:pStyle w:val="Compact"/>
        <w:numPr>
          <w:ilvl w:val="0"/>
          <w:numId w:val="1008"/>
        </w:numPr>
      </w:pPr>
      <w:r>
        <w:t xml:space="preserve">MVP Boost, MVP Southgate and other Appalachian egress projects.</w:t>
      </w:r>
    </w:p>
    <w:p>
      <w:pPr>
        <w:pStyle w:val="Compact"/>
        <w:numPr>
          <w:ilvl w:val="0"/>
          <w:numId w:val="1008"/>
        </w:numPr>
      </w:pPr>
      <w:r>
        <w:t xml:space="preserve">Incremental gathering or transmission projects.</w:t>
      </w:r>
    </w:p>
    <w:p>
      <w:pPr>
        <w:pStyle w:val="Compact"/>
        <w:numPr>
          <w:ilvl w:val="0"/>
          <w:numId w:val="1008"/>
        </w:numPr>
      </w:pPr>
      <w:r>
        <w:t xml:space="preserve">Expected capital, start dates and contracted returns.</w:t>
      </w:r>
    </w:p>
    <w:p>
      <w:pPr>
        <w:pStyle w:val="Compact"/>
        <w:numPr>
          <w:ilvl w:val="0"/>
          <w:numId w:val="1008"/>
        </w:numPr>
      </w:pPr>
      <w:r>
        <w:t xml:space="preserve">Credit quality and commitments from data-center or power counterparties.</w:t>
      </w:r>
    </w:p>
    <w:p>
      <w:pPr>
        <w:pStyle w:val="FirstParagraph"/>
      </w:pPr>
      <w:r>
        <w:t xml:space="preserve">The ideal announcement would pair new demand with</w:t>
      </w:r>
      <w:r>
        <w:t xml:space="preserve"> </w:t>
      </w:r>
      <w:r>
        <w:rPr>
          <w:b/>
          <w:bCs/>
        </w:rPr>
        <w:t xml:space="preserve">firm customer commitments and infrastructure returns</w:t>
      </w:r>
      <w:r>
        <w:t xml:space="preserve">, rather than require EQT to speculate on uncontracted demand.</w:t>
      </w:r>
    </w:p>
    <w:p>
      <w:pPr>
        <w:pStyle w:val="BodyText"/>
      </w:pPr>
      <w:r>
        <w:t xml:space="preserve">Long-term LNG exposure remains strategically valuable, particularly given volatility in global gas markets, but those contracts largely begin around 2030. Near-term valuation is more likely to respond to domestic power and infrastructure projects that can contribute between 2027 and 2030.</w:t>
      </w:r>
    </w:p>
    <w:p>
      <w:r>
        <w:pict>
          <v:rect style="width:0;height:1.5pt" o:hralign="center" o:hrstd="t" o:hr="t"/>
        </w:pict>
      </w:r>
    </w:p>
    <w:bookmarkEnd w:id="21"/>
    <w:bookmarkStart w:id="23" w:name="X1792813def887dc67829fd1edc8a2b1d91959e7"/>
    <w:p>
      <w:pPr>
        <w:pStyle w:val="Heading2"/>
      </w:pPr>
      <w:r>
        <w:t xml:space="preserve">7. Watch the updated hedge book</w:t>
      </w:r>
    </w:p>
    <w:p>
      <w:pPr>
        <w:pStyle w:val="FirstParagraph"/>
      </w:pPr>
      <w:r>
        <w:t xml:space="preserve">As of April 14, EQT had approximately: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1.4 million Dth/day hedged for Q3</w:t>
      </w:r>
      <w:r>
        <w:t xml:space="preserve">, with an average collar floor of $3.50 and ceiling of $4.94.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1.2 million Dth/day hedged for Q4</w:t>
      </w:r>
      <w:r>
        <w:t xml:space="preserve">, with an average floor of $3.72 and ceiling of $5.13.</w:t>
      </w:r>
    </w:p>
    <w:p>
      <w:pPr>
        <w:pStyle w:val="FirstParagraph"/>
      </w:pPr>
      <w:r>
        <w:t xml:space="preserve">The updated hedge schedule will show whether management used periods of price strength to add protection for 2027 while retaining upside. This matters because domestic gas fundamentals remain mixed: Lower 48 storage reached</w:t>
      </w:r>
      <w:r>
        <w:t xml:space="preserve"> </w:t>
      </w:r>
      <w:r>
        <w:rPr>
          <w:b/>
          <w:bCs/>
        </w:rPr>
        <w:t xml:space="preserve">3,024 Bcf as of July 10</w:t>
      </w:r>
      <w:r>
        <w:t xml:space="preserve">, and recent Henry Hub pricing has been below the levels implied by EQT’s existing Q3 and Q4 floors. (</w:t>
      </w:r>
      <w:hyperlink r:id="rId22">
        <w:r>
          <w:rPr>
            <w:rStyle w:val="Hyperlink"/>
          </w:rPr>
          <w:t xml:space="preserve">eia.gov</w:t>
        </w:r>
      </w:hyperlink>
      <w:r>
        <w:t xml:space="preserve">)</w:t>
      </w:r>
    </w:p>
    <w:p>
      <w:pPr>
        <w:pStyle w:val="BodyText"/>
      </w:pPr>
      <w:r>
        <w:t xml:space="preserve">A disciplined hedge update would mean protecting downside without giving away too much exposure to a tightening winter or stronger long-term LNG demand.</w:t>
      </w:r>
    </w:p>
    <w:p>
      <w:r>
        <w:pict>
          <v:rect style="width:0;height:1.5pt" o:hralign="center" o:hrstd="t" o:hr="t"/>
        </w:pict>
      </w:r>
    </w:p>
    <w:bookmarkEnd w:id="23"/>
    <w:bookmarkStart w:id="24" w:name="what-would-constitute-a-strong-report"/>
    <w:p>
      <w:pPr>
        <w:pStyle w:val="Heading2"/>
      </w:pPr>
      <w:r>
        <w:t xml:space="preserve">What would constitute a strong report?</w:t>
      </w:r>
    </w:p>
    <w:p>
      <w:pPr>
        <w:pStyle w:val="FirstParagraph"/>
      </w:pPr>
      <w:r>
        <w:t xml:space="preserve">A constructive result would include most of the following:</w:t>
      </w:r>
    </w:p>
    <w:p>
      <w:pPr>
        <w:pStyle w:val="Compact"/>
        <w:numPr>
          <w:ilvl w:val="0"/>
          <w:numId w:val="1010"/>
        </w:numPr>
      </w:pPr>
      <w:r>
        <w:t xml:space="preserve">Sales volume above the 595 Bcfe midpoint.</w:t>
      </w:r>
    </w:p>
    <w:p>
      <w:pPr>
        <w:pStyle w:val="Compact"/>
        <w:numPr>
          <w:ilvl w:val="0"/>
          <w:numId w:val="1010"/>
        </w:numPr>
      </w:pPr>
      <w:r>
        <w:t xml:space="preserve">Operating costs near or below the midpoint.</w:t>
      </w:r>
    </w:p>
    <w:p>
      <w:pPr>
        <w:pStyle w:val="Compact"/>
        <w:numPr>
          <w:ilvl w:val="0"/>
          <w:numId w:val="1010"/>
        </w:numPr>
      </w:pPr>
      <w:r>
        <w:t xml:space="preserve">Total Q2 capital at or below roughly $780 million.</w:t>
      </w:r>
    </w:p>
    <w:p>
      <w:pPr>
        <w:pStyle w:val="Compact"/>
        <w:numPr>
          <w:ilvl w:val="0"/>
          <w:numId w:val="1010"/>
        </w:numPr>
      </w:pPr>
      <w:r>
        <w:t xml:space="preserve">Full-year capital guidance maintained.</w:t>
      </w:r>
    </w:p>
    <w:p>
      <w:pPr>
        <w:pStyle w:val="Compact"/>
        <w:numPr>
          <w:ilvl w:val="0"/>
          <w:numId w:val="1010"/>
        </w:numPr>
      </w:pPr>
      <w:r>
        <w:t xml:space="preserve">Confirmation of a substantial second-half capital decline.</w:t>
      </w:r>
    </w:p>
    <w:p>
      <w:pPr>
        <w:pStyle w:val="Compact"/>
        <w:numPr>
          <w:ilvl w:val="0"/>
          <w:numId w:val="1010"/>
        </w:numPr>
      </w:pPr>
      <w:r>
        <w:t xml:space="preserve">Net debt approaching the $5 billion target.</w:t>
      </w:r>
    </w:p>
    <w:p>
      <w:pPr>
        <w:pStyle w:val="Compact"/>
        <w:numPr>
          <w:ilvl w:val="0"/>
          <w:numId w:val="1010"/>
        </w:numPr>
      </w:pPr>
      <w:r>
        <w:t xml:space="preserve">Full-year production maintained or modestly increased.</w:t>
      </w:r>
    </w:p>
    <w:p>
      <w:pPr>
        <w:pStyle w:val="Compact"/>
        <w:numPr>
          <w:ilvl w:val="0"/>
          <w:numId w:val="1010"/>
        </w:numPr>
      </w:pPr>
      <w:r>
        <w:t xml:space="preserve">Clear post-deleveraging capital-allocation priorities.</w:t>
      </w:r>
    </w:p>
    <w:p>
      <w:pPr>
        <w:pStyle w:val="Compact"/>
        <w:numPr>
          <w:ilvl w:val="0"/>
          <w:numId w:val="1010"/>
        </w:numPr>
      </w:pPr>
      <w:r>
        <w:t xml:space="preserve">At least one tangible update on power, data-center or midstream projects.</w:t>
      </w:r>
    </w:p>
    <w:p>
      <w:pPr>
        <w:pStyle w:val="Compact"/>
        <w:numPr>
          <w:ilvl w:val="0"/>
          <w:numId w:val="1010"/>
        </w:numPr>
      </w:pPr>
      <w:r>
        <w:t xml:space="preserve">No deterioration in Appalachian basis expectations.</w:t>
      </w:r>
    </w:p>
    <w:bookmarkEnd w:id="24"/>
    <w:bookmarkStart w:id="25" w:name="what-would-concern-investors"/>
    <w:p>
      <w:pPr>
        <w:pStyle w:val="Heading2"/>
      </w:pPr>
      <w:r>
        <w:t xml:space="preserve">What would concern investors?</w:t>
      </w:r>
    </w:p>
    <w:p>
      <w:pPr>
        <w:pStyle w:val="Compact"/>
        <w:numPr>
          <w:ilvl w:val="0"/>
          <w:numId w:val="1011"/>
        </w:numPr>
      </w:pPr>
      <w:r>
        <w:t xml:space="preserve">Volume near the low end for operational rather than economic reasons.</w:t>
      </w:r>
    </w:p>
    <w:p>
      <w:pPr>
        <w:pStyle w:val="Compact"/>
        <w:numPr>
          <w:ilvl w:val="0"/>
          <w:numId w:val="1011"/>
        </w:numPr>
      </w:pPr>
      <w:r>
        <w:t xml:space="preserve">Differential worse than the guided range.</w:t>
      </w:r>
    </w:p>
    <w:p>
      <w:pPr>
        <w:pStyle w:val="Compact"/>
        <w:numPr>
          <w:ilvl w:val="0"/>
          <w:numId w:val="1011"/>
        </w:numPr>
      </w:pPr>
      <w:r>
        <w:t xml:space="preserve">Capital above guidance or higher full-year spending.</w:t>
      </w:r>
    </w:p>
    <w:p>
      <w:pPr>
        <w:pStyle w:val="Compact"/>
        <w:numPr>
          <w:ilvl w:val="0"/>
          <w:numId w:val="1011"/>
        </w:numPr>
      </w:pPr>
      <w:r>
        <w:t xml:space="preserve">A delay in reaching the $5 billion debt target.</w:t>
      </w:r>
    </w:p>
    <w:p>
      <w:pPr>
        <w:pStyle w:val="Compact"/>
        <w:numPr>
          <w:ilvl w:val="0"/>
          <w:numId w:val="1011"/>
        </w:numPr>
      </w:pPr>
      <w:r>
        <w:t xml:space="preserve">Growth spending without contracted customers or return thresholds.</w:t>
      </w:r>
    </w:p>
    <w:p>
      <w:pPr>
        <w:pStyle w:val="Compact"/>
        <w:numPr>
          <w:ilvl w:val="0"/>
          <w:numId w:val="1011"/>
        </w:numPr>
      </w:pPr>
      <w:r>
        <w:t xml:space="preserve">A full-year production reduction unrelated to value-enhancing curtailments.</w:t>
      </w:r>
    </w:p>
    <w:p>
      <w:pPr>
        <w:pStyle w:val="Compact"/>
        <w:numPr>
          <w:ilvl w:val="0"/>
          <w:numId w:val="1011"/>
        </w:numPr>
      </w:pPr>
      <w:r>
        <w:t xml:space="preserve">Limited progress on the demand projects heavily emphasized last quarter.</w:t>
      </w:r>
    </w:p>
    <w:p>
      <w:pPr>
        <w:pStyle w:val="Compact"/>
        <w:numPr>
          <w:ilvl w:val="0"/>
          <w:numId w:val="1011"/>
        </w:numPr>
      </w:pPr>
      <w:r>
        <w:t xml:space="preserve">Buybacks or upstream growth taking priority before the balance sheet is fully secured.</w:t>
      </w:r>
    </w:p>
    <w:p>
      <w:r>
        <w:pict>
          <v:rect style="width:0;height:1.5pt" o:hralign="center" o:hrstd="t" o:hr="t"/>
        </w:pict>
      </w:r>
    </w:p>
    <w:bookmarkEnd w:id="25"/>
    <w:bookmarkStart w:id="26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EQT closed at approximately</w:t>
      </w:r>
      <w:r>
        <w:t xml:space="preserve"> </w:t>
      </w:r>
      <w:r>
        <w:rPr>
          <w:b/>
          <w:bCs/>
        </w:rPr>
        <w:t xml:space="preserve">$49.06 on July 20</w:t>
      </w:r>
      <w:r>
        <w:t xml:space="preserve">, down about</w:t>
      </w:r>
      <w:r>
        <w:t xml:space="preserve"> </w:t>
      </w:r>
      <w:r>
        <w:rPr>
          <w:b/>
          <w:bCs/>
        </w:rPr>
        <w:t xml:space="preserve">8.5% year to date</w:t>
      </w:r>
      <w:r>
        <w:t xml:space="preserve"> </w:t>
      </w:r>
      <w:r>
        <w:t xml:space="preserve">and roughly</w:t>
      </w:r>
      <w:r>
        <w:t xml:space="preserve"> </w:t>
      </w:r>
      <w:r>
        <w:rPr>
          <w:b/>
          <w:bCs/>
        </w:rPr>
        <w:t xml:space="preserve">28% below its late-March high</w:t>
      </w:r>
      <w:r>
        <w:t xml:space="preserve">, while the oil-and-gas producer ETF XOP had gained about 35% over the same year-to-date period.</w:t>
      </w:r>
    </w:p>
    <w:p>
      <w:pPr>
        <w:pStyle w:val="BodyText"/>
      </w:pPr>
      <w:r>
        <w:t xml:space="preserve">That underperformance suggests expectations have reset after the exceptional first quarter. It also means a clean report with stable guidance, improving leverage and credible project announcements could be rewarded even if EPS is unremarkable. Conversely, the market may react poorly if management uses the balance-sheet improvement primarily to accelerate spending without demonstrating contracted returns.</w:t>
      </w:r>
    </w:p>
    <w:p>
      <w:r>
        <w:pict>
          <v:rect style="width:0;height:1.5pt" o:hralign="center" o:hrstd="t" o:hr="t"/>
        </w:pict>
      </w:r>
    </w:p>
    <w:bookmarkEnd w:id="26"/>
    <w:bookmarkStart w:id="2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This is unlikely to be an EPS-driven quarter. The expected earnings decline largely reflects the normalization of natural-gas prices after an extraordinary winter, while EQT has already disclosed the broad derivative impact.</w:t>
      </w:r>
    </w:p>
    <w:p>
      <w:pPr>
        <w:pStyle w:val="BodyText"/>
      </w:pPr>
      <w:r>
        <w:t xml:space="preserve">The investment debate is moving to the next phase:</w:t>
      </w:r>
    </w:p>
    <w:p>
      <w:pPr>
        <w:pStyle w:val="Compact"/>
        <w:numPr>
          <w:ilvl w:val="0"/>
          <w:numId w:val="1012"/>
        </w:numPr>
      </w:pPr>
      <w:r>
        <w:t xml:space="preserve">Can EQT preserve strong free cash flow at more ordinary gas prices?</w:t>
      </w:r>
    </w:p>
    <w:p>
      <w:pPr>
        <w:pStyle w:val="Compact"/>
        <w:numPr>
          <w:ilvl w:val="0"/>
          <w:numId w:val="1012"/>
        </w:numPr>
      </w:pPr>
      <w:r>
        <w:t xml:space="preserve">Will capital decline as promised after Q2?</w:t>
      </w:r>
    </w:p>
    <w:p>
      <w:pPr>
        <w:pStyle w:val="Compact"/>
        <w:numPr>
          <w:ilvl w:val="0"/>
          <w:numId w:val="1012"/>
        </w:numPr>
      </w:pPr>
      <w:r>
        <w:t xml:space="preserve">Is the $5 billion debt target effectively achieved?</w:t>
      </w:r>
    </w:p>
    <w:p>
      <w:pPr>
        <w:pStyle w:val="Compact"/>
        <w:numPr>
          <w:ilvl w:val="0"/>
          <w:numId w:val="1012"/>
        </w:numPr>
      </w:pPr>
      <w:r>
        <w:t xml:space="preserve">How will excess cash be allocated afterward?</w:t>
      </w:r>
    </w:p>
    <w:p>
      <w:pPr>
        <w:pStyle w:val="Compact"/>
        <w:numPr>
          <w:ilvl w:val="0"/>
          <w:numId w:val="1012"/>
        </w:numPr>
      </w:pPr>
      <w:r>
        <w:t xml:space="preserve">Can management turn its Appalachian demand narrative into contracted, high-return growth?</w:t>
      </w:r>
    </w:p>
    <w:p>
      <w:pPr>
        <w:pStyle w:val="FirstParagraph"/>
      </w:pPr>
      <w:r>
        <w:rPr>
          <w:b/>
          <w:bCs/>
        </w:rPr>
        <w:t xml:space="preserve">The most important earnings-day variables are likely to be net debt, full-year capital guidance, second-half free-cash-flow expectations and concrete demand-project updates—not whether adjusted EPS beats consensus by a few cents.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7" Target="https://ir.eqt.com/investor-relations/financials/quarterly-results/default.aspx?utm_source=openai" TargetMode="External" /><Relationship Type="http://schemas.openxmlformats.org/officeDocument/2006/relationships/hyperlink" Id="rId9" Target="https://ir.eqt.com/investor-relations/news/news-release-details/2026/EQT-Corporation-Schedules-Second-Quarter-2026-Earnings-Release-and-Conference-Call/default.aspx" TargetMode="External" /><Relationship Type="http://schemas.openxmlformats.org/officeDocument/2006/relationships/hyperlink" Id="rId22" Target="https://www.eia.gov/dnav/ng/ng_stor_wkly_s1_w.htm" TargetMode="External" /><Relationship Type="http://schemas.openxmlformats.org/officeDocument/2006/relationships/hyperlink" Id="rId15" Target="https://www.eia.gov/pressroom/releases/press589.php?utm_source=openai" TargetMode="External" /><Relationship Type="http://schemas.openxmlformats.org/officeDocument/2006/relationships/hyperlink" Id="rId12" Target="https://www.sec.gov/Archives/edgar/data/33213/000003321326000035/eqt-20260714.htm" TargetMode="External" /><Relationship Type="http://schemas.openxmlformats.org/officeDocument/2006/relationships/hyperlink" Id="rId11" Target="https://www.zacks.com/stock/news/2955718/eqt-gears-up-to-report-q2-earnings-whats-in-store-for-the-stock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7" Target="https://ir.eqt.com/investor-relations/financials/quarterly-results/default.aspx?utm_source=openai" TargetMode="External" /><Relationship Type="http://schemas.openxmlformats.org/officeDocument/2006/relationships/hyperlink" Id="rId9" Target="https://ir.eqt.com/investor-relations/news/news-release-details/2026/EQT-Corporation-Schedules-Second-Quarter-2026-Earnings-Release-and-Conference-Call/default.aspx" TargetMode="External" /><Relationship Type="http://schemas.openxmlformats.org/officeDocument/2006/relationships/hyperlink" Id="rId22" Target="https://www.eia.gov/dnav/ng/ng_stor_wkly_s1_w.htm" TargetMode="External" /><Relationship Type="http://schemas.openxmlformats.org/officeDocument/2006/relationships/hyperlink" Id="rId15" Target="https://www.eia.gov/pressroom/releases/press589.php?utm_source=openai" TargetMode="External" /><Relationship Type="http://schemas.openxmlformats.org/officeDocument/2006/relationships/hyperlink" Id="rId12" Target="https://www.sec.gov/Archives/edgar/data/33213/000003321326000035/eqt-20260714.htm" TargetMode="External" /><Relationship Type="http://schemas.openxmlformats.org/officeDocument/2006/relationships/hyperlink" Id="rId11" Target="https://www.zacks.com/stock/news/2955718/eqt-gears-up-to-report-q2-earnings-whats-in-store-for-the-stock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2026-07-21T01:02:41Z</dcterms:created>
  <dcterms:modified xsi:type="dcterms:W3CDTF">2026-07-21T01:02:41Z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