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qt-earnings-predictions--2026-07-21"/>
    <w:p>
      <w:pPr>
        <w:pStyle w:val="Heading1"/>
      </w:pPr>
      <w:r>
        <w:t xml:space="preserve">EQT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~$0.46 vs. cons $0.41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~$1.85bn vs. cons $1.79bn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 attributable to EQT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~$250m vs. cons $275m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2026 total sales volume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~2,325 Bcfe vs. cons 2,325 Bcfe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2026 total capital expenditures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~$2.75bn vs. cons $2.75bn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2026 operating costs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~$1.14/Mcfe vs. cons $1.14/Mcfe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Year-end net debt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~$5.0bn vs. cons $5.1bn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EPS and revenue beat estimates by ~</w:t>
            </w:r>
            <m:oMath>
              <m:r>
                <m:t>0.05</m:t>
              </m:r>
              <m:r>
                <m:rPr>
                  <m:sty m:val="p"/>
                </m:rPr>
                <m:t>/</m:t>
              </m:r>
              <m:r>
                <m:t>s</m:t>
              </m:r>
              <m:r>
                <m:t>h</m:t>
              </m:r>
              <m:r>
                <m:t>a</m:t>
              </m:r>
              <m:r>
                <m:t>r</m:t>
              </m:r>
              <m:r>
                <m:t>e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0.06bn, respectively, but predicted FCF of ~</w:t>
            </w:r>
            <m:oMath>
              <m:r>
                <m:t>250</m:t>
              </m:r>
              <m:r>
                <m:t>m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275m consensus and an unchanged ~$2.75bn FY2026 capital plan leave out-period cash-flow math softer; revisions should drift lower after the initial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2026-07-21T01:04:10Z</dcterms:created>
  <dcterms:modified xsi:type="dcterms:W3CDTF">2026-07-21T01:04:10Z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