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eqt-q2-2026-earnings-preview"/>
    <w:p>
      <w:pPr>
        <w:pStyle w:val="Heading1"/>
      </w:pPr>
      <w:r>
        <w:t xml:space="preserve">EQT Q2 2026 Earnings Preview</w:t>
      </w:r>
    </w:p>
    <w:p>
      <w:pPr>
        <w:pStyle w:val="BlockText"/>
      </w:pPr>
      <w:r>
        <w:rPr>
          <w:b/>
          <w:bCs/>
        </w:rPr>
        <w:t xml:space="preserve">Timing note:</w:t>
      </w:r>
      <w:r>
        <w:t xml:space="preserve"> </w:t>
      </w:r>
      <w:r>
        <w:t xml:space="preserve">Today is</w:t>
      </w:r>
      <w:r>
        <w:t xml:space="preserve"> </w:t>
      </w:r>
      <w:r>
        <w:rPr>
          <w:b/>
          <w:bCs/>
        </w:rPr>
        <w:t xml:space="preserve">Tuesday, July 21, 2026</w:t>
      </w:r>
      <w:r>
        <w:t xml:space="preserve">, so “tomorrow” is</w:t>
      </w:r>
      <w:r>
        <w:t xml:space="preserve"> </w:t>
      </w:r>
      <w:r>
        <w:rPr>
          <w:b/>
          <w:bCs/>
        </w:rPr>
        <w:t xml:space="preserve">Wednesday, July 22, 2026</w:t>
      </w:r>
      <w:r>
        <w:t xml:space="preserve">. I treat July 22 as the intended Q2 reporting/call date; the stated event date of July 21 appears to be a timing discrepancy.</w:t>
      </w:r>
    </w:p>
    <w:bookmarkStart w:id="9" w:name="Xe7f0a132cd8584d01d78d2570924d85e1a68dad"/>
    <w:p>
      <w:pPr>
        <w:pStyle w:val="Heading2"/>
      </w:pPr>
      <w:r>
        <w:t xml:space="preserve">Investment view: Q2 is more about execution, cash conversion, and the 2H setup than headline EPS</w:t>
      </w:r>
    </w:p>
    <w:p>
      <w:pPr>
        <w:pStyle w:val="FirstParagraph"/>
      </w:pPr>
      <w:r>
        <w:t xml:space="preserve">EQT enters Q2 with a high operational bar after a record first quarter, but a more complicated commodity backdrop. The quarter should demonstrate whether the company can: (1) execute its planned shoulder-season production curtailments without compromising full-year targets, (2) keep costs and peak-quarter growth capital spending controlled, and (3) continue its rapid deleveraging toward the</w:t>
      </w:r>
      <w:r>
        <w:t xml:space="preserve"> </w:t>
      </w:r>
      <w:r>
        <w:rPr>
          <w:b/>
          <w:bCs/>
        </w:rPr>
        <w:t xml:space="preserve">$5 billion net-debt target</w:t>
      </w:r>
      <w:r>
        <w:t xml:space="preserve">.</w:t>
      </w:r>
    </w:p>
    <w:p>
      <w:pPr>
        <w:pStyle w:val="BodyText"/>
      </w:pPr>
      <w:r>
        <w:t xml:space="preserve">The most important near-term positive is already partly disclosed: EQT expects a</w:t>
      </w:r>
      <w:r>
        <w:t xml:space="preserve"> </w:t>
      </w:r>
      <m:oMath>
        <m:r>
          <m:t>45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t</m:t>
        </m:r>
        <m:r>
          <m:t>o</m:t>
        </m:r>
        <m:r>
          <m:t>t</m:t>
        </m:r>
        <m:r>
          <m:t>a</m:t>
        </m:r>
        <m:r>
          <m:t>l</m:t>
        </m:r>
        <m:r>
          <m:t>d</m:t>
        </m:r>
        <m:r>
          <m:t>e</m:t>
        </m:r>
        <m:r>
          <m:t>r</m:t>
        </m:r>
        <m:r>
          <m:t>i</m:t>
        </m:r>
        <m:r>
          <m:t>v</m:t>
        </m:r>
        <m:r>
          <m:t>a</m:t>
        </m:r>
        <m:r>
          <m:t>t</m:t>
        </m:r>
        <m:r>
          <m:t>i</m:t>
        </m:r>
        <m:r>
          <m:t>v</m:t>
        </m:r>
        <m:r>
          <m:t>e</m:t>
        </m:r>
        <m:r>
          <m:t>g</m:t>
        </m:r>
        <m:r>
          <m:t>a</m:t>
        </m:r>
        <m:r>
          <m:t>i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a</m:t>
        </m:r>
        <m:r>
          <m:t>n</m:t>
        </m:r>
        <m:r>
          <m:t>d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73 million of net cash derivative settlements received</w:t>
      </w:r>
      <w:r>
        <w:t xml:space="preserve"> </w:t>
      </w:r>
      <w:r>
        <w:t xml:space="preserve">for Q2. That is a meaningful reversal from</w:t>
      </w:r>
      <w:r>
        <w:t xml:space="preserve"> </w:t>
      </w:r>
      <w:r>
        <w:rPr>
          <w:b/>
          <w:bCs/>
        </w:rPr>
        <w:t xml:space="preserve">$304 million of net cash derivative settlements paid</w:t>
      </w:r>
      <w:r>
        <w:t xml:space="preserve"> </w:t>
      </w:r>
      <w:r>
        <w:t xml:space="preserve">in Q1. It should cushion cash flow against what was likely a weaker seasonal physical-gas-price environment than the winter-driven first quarter.</w:t>
      </w:r>
    </w:p>
    <w:p>
      <w:pPr>
        <w:pStyle w:val="BodyText"/>
      </w:pPr>
      <w:r>
        <w:t xml:space="preserve">However, the stock appears to be entering the print with tempered expectations. EQT closed at</w:t>
      </w:r>
      <w:r>
        <w:t xml:space="preserve"> </w:t>
      </w:r>
      <w:r>
        <w:rPr>
          <w:b/>
          <w:bCs/>
        </w:rPr>
        <w:t xml:space="preserve">$49.06 on July 20</w:t>
      </w:r>
      <w:r>
        <w:t xml:space="preserve">, down roughly</w:t>
      </w:r>
      <w:r>
        <w:t xml:space="preserve"> </w:t>
      </w:r>
      <w:r>
        <w:rPr>
          <w:b/>
          <w:bCs/>
        </w:rPr>
        <w:t xml:space="preserve">14% since its April 21 Q1 earnings release</w:t>
      </w:r>
      <w:r>
        <w:t xml:space="preserve"> </w:t>
      </w:r>
      <w:r>
        <w:t xml:space="preserve">and nearly</w:t>
      </w:r>
      <w:r>
        <w:t xml:space="preserve"> </w:t>
      </w:r>
      <w:r>
        <w:rPr>
          <w:b/>
          <w:bCs/>
        </w:rPr>
        <w:t xml:space="preserve">20% from April 1</w:t>
      </w:r>
      <w:r>
        <w:t xml:space="preserve">. The key question is therefore less whether EQT beats a quarterly earnings number and more whether management can reinforce the durability of free cash flow, its balance-sheet transition, and demand-led growth optionality in Appalachia.</w:t>
      </w:r>
    </w:p>
    <w:bookmarkEnd w:id="9"/>
    <w:bookmarkStart w:id="10" w:name="what-eqt-guided-for-in-q2"/>
    <w:p>
      <w:pPr>
        <w:pStyle w:val="Heading2"/>
      </w:pPr>
      <w:r>
        <w:t xml:space="preserve">What EQT guided for in Q2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Q2 2026 guidance</w:t>
            </w:r>
          </w:p>
        </w:tc>
        <w:tc>
          <w:tcPr/>
          <w:p>
            <w:pPr>
              <w:pStyle w:val="Compact"/>
            </w:pPr>
            <w:r>
              <w:t xml:space="preserve">Investor read-through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Total sales volume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570–620 Bcfe</w:t>
            </w:r>
          </w:p>
        </w:tc>
        <w:tc>
          <w:tcPr/>
          <w:p>
            <w:pPr>
              <w:pStyle w:val="Compact"/>
            </w:pPr>
            <w:r>
              <w:t xml:space="preserve">Includes</w:t>
            </w:r>
            <w:r>
              <w:t xml:space="preserve"> </w:t>
            </w:r>
            <w:r>
              <w:rPr>
                <w:b/>
                <w:bCs/>
              </w:rPr>
              <w:t xml:space="preserve">10–15 Bcfe</w:t>
            </w:r>
            <w:r>
              <w:t xml:space="preserve"> </w:t>
            </w:r>
            <w:r>
              <w:t xml:space="preserve">of strategic curtailments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Maintenance capex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$525–595m</w:t>
            </w:r>
          </w:p>
        </w:tc>
        <w:tc>
          <w:tcPr/>
          <w:p>
            <w:pPr>
              <w:pStyle w:val="Compact"/>
            </w:pPr>
            <w:r>
              <w:t xml:space="preserve">Core spending remains substantial but controlled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Growth capex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$210–235m</w:t>
            </w:r>
          </w:p>
        </w:tc>
        <w:tc>
          <w:tcPr/>
          <w:p>
            <w:pPr>
              <w:pStyle w:val="Compact"/>
            </w:pPr>
            <w:r>
              <w:t xml:space="preserve">Q2 was identified as the</w:t>
            </w:r>
            <w:r>
              <w:t xml:space="preserve"> </w:t>
            </w:r>
            <w:r>
              <w:rPr>
                <w:b/>
                <w:bCs/>
              </w:rPr>
              <w:t xml:space="preserve">peak capex quarter</w:t>
            </w:r>
            <w:r>
              <w:t xml:space="preserve"> </w:t>
            </w:r>
            <w:r>
              <w:t xml:space="preserve">of 2026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Capital contributions to equity-method investments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$25–35m</w:t>
            </w:r>
          </w:p>
        </w:tc>
        <w:tc>
          <w:tcPr/>
          <w:p>
            <w:pPr>
              <w:pStyle w:val="Compact"/>
            </w:pPr>
            <w:r>
              <w:t xml:space="preserve">Primarily relevant to pipeline/JV investments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wells turned in line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30–45</w:t>
            </w:r>
          </w:p>
        </w:tc>
        <w:tc>
          <w:tcPr/>
          <w:p>
            <w:pPr>
              <w:pStyle w:val="Compact"/>
            </w:pPr>
            <w:r>
              <w:t xml:space="preserve">Important operating-execution indicator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Operating cost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$1.03–1.17/Mcfe</w:t>
            </w:r>
          </w:p>
        </w:tc>
        <w:tc>
          <w:tcPr/>
          <w:p>
            <w:pPr>
              <w:pStyle w:val="Compact"/>
            </w:pPr>
            <w:r>
              <w:t xml:space="preserve">A critical confirmation of EQT’s low-cost platform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Average differential, including basis hedges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(</w:t>
            </w:r>
            <m:oMath>
              <m:r>
                <m:t>0.75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–</m:t>
              </m:r>
              <m:r>
                <m:rPr>
                  <m:sty m:val="p"/>
                </m:rPr>
                <m:t>(</m:t>
              </m:r>
            </m:oMath>
            <w:r>
              <w:rPr>
                <w:b/>
                <w:bCs/>
              </w:rPr>
              <w:t xml:space="preserve">0.65)/Mcf</w:t>
            </w:r>
          </w:p>
        </w:tc>
        <w:tc>
          <w:tcPr/>
          <w:p>
            <w:pPr>
              <w:pStyle w:val="Compact"/>
            </w:pPr>
            <w:r>
              <w:t xml:space="preserve">Watch for Appalachian basis and transportation effects</w:t>
            </w:r>
          </w:p>
        </w:tc>
      </w:tr>
      <w:tr>
        <w:tc>
          <w:tcPr/>
          <w:p>
            <w:pPr>
              <w:pStyle w:val="Compact"/>
            </w:pPr>
            <w:r>
              <w:t xml:space="preserve">Third-party midstream revenue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$130–160m</w:t>
            </w:r>
          </w:p>
        </w:tc>
        <w:tc>
          <w:tcPr/>
          <w:p>
            <w:pPr>
              <w:pStyle w:val="Compact"/>
            </w:pPr>
            <w:r>
              <w:t xml:space="preserve">A check on integrated-midstream earnings contribution</w:t>
            </w:r>
          </w:p>
        </w:tc>
      </w:tr>
    </w:tbl>
    <w:p>
      <w:pPr>
        <w:pStyle w:val="BodyText"/>
      </w:pPr>
      <w:r>
        <w:t xml:space="preserve">At the midpoint, Q2 sales volume would be</w:t>
      </w:r>
      <w:r>
        <w:t xml:space="preserve"> </w:t>
      </w:r>
      <w:r>
        <w:rPr>
          <w:b/>
          <w:bCs/>
        </w:rPr>
        <w:t xml:space="preserve">595 Bcfe</w:t>
      </w:r>
      <w:r>
        <w:t xml:space="preserve">. Adjusting for the planned 10–15 Bcfe of curtailments implies an underlying operating capability of roughly</w:t>
      </w:r>
      <w:r>
        <w:t xml:space="preserve"> </w:t>
      </w:r>
      <w:r>
        <w:rPr>
          <w:b/>
          <w:bCs/>
        </w:rPr>
        <w:t xml:space="preserve">605–610 Bcfe</w:t>
      </w:r>
      <w:r>
        <w:t xml:space="preserve">—not far below Q1’s 618 Bcfe, despite the seasonal change in demand and pricing.</w:t>
      </w:r>
    </w:p>
    <w:bookmarkEnd w:id="10"/>
    <w:bookmarkStart w:id="11" w:name="Xf73efaf9758bd282c116684adf2e7d92db004e7"/>
    <w:p>
      <w:pPr>
        <w:pStyle w:val="Heading2"/>
      </w:pPr>
      <w:r>
        <w:t xml:space="preserve">The core debate: strategic curtailments are either value optimization or a source of skepticism</w:t>
      </w:r>
    </w:p>
    <w:p>
      <w:pPr>
        <w:pStyle w:val="FirstParagraph"/>
      </w:pPr>
      <w:r>
        <w:t xml:space="preserve">Management has explicitly framed Q2 curtailments as “synthetic storage”: keeping gas in the ground during a seasonally weaker market and preserving volumes for periods with better pricing. This is logical for an integrated operator with substantial infrastructure, marketing, and transportation capabilities.</w:t>
      </w:r>
    </w:p>
    <w:p>
      <w:pPr>
        <w:pStyle w:val="BodyText"/>
      </w:pPr>
      <w:r>
        <w:t xml:space="preserve">For investors, the distinction matters: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Constructive interpretation:</w:t>
      </w:r>
      <w:r>
        <w:t xml:space="preserve"> </w:t>
      </w:r>
      <w:r>
        <w:t xml:space="preserve">EQT is using its scale and operational flexibility to maximize realized value per molecule rather than indiscriminately chasing volumes.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More skeptical interpretation:</w:t>
      </w:r>
      <w:r>
        <w:t xml:space="preserve"> </w:t>
      </w:r>
      <w:r>
        <w:t xml:space="preserve">Curtailments can obscure underlying production momentum and shift volume into later periods, creating uncertainty around the shape of 2H production and free cash flow.</w:t>
      </w:r>
    </w:p>
    <w:p>
      <w:pPr>
        <w:pStyle w:val="FirstParagraph"/>
      </w:pPr>
      <w:r>
        <w:t xml:space="preserve">The earnings release and call should clarify whether curtailments were in line with the 10–15 Bcfe guide, whether management took incremental shut-ins late in the quarter, and whether its view on further autumn curtailments has changed.</w:t>
      </w:r>
    </w:p>
    <w:bookmarkEnd w:id="11"/>
    <w:bookmarkStart w:id="12" w:name="Xc93e442e66b9bf2ee1657362e56c5254e245077"/>
    <w:p>
      <w:pPr>
        <w:pStyle w:val="Heading2"/>
      </w:pPr>
      <w:r>
        <w:t xml:space="preserve">Why derivatives matter unusually much this quarter</w:t>
      </w:r>
    </w:p>
    <w:p>
      <w:pPr>
        <w:pStyle w:val="FirstParagraph"/>
      </w:pPr>
      <w:r>
        <w:t xml:space="preserve">On July 14, EQT pre-announced expected Q2 derivative results: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$45 million total derivative gain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$76 million</w:t>
      </w:r>
      <w:r>
        <w:t xml:space="preserve"> </w:t>
      </w:r>
      <w:r>
        <w:t xml:space="preserve">of cash settlements received on NYMEX natural-gas hedges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$3 million</w:t>
      </w:r>
      <w:r>
        <w:t xml:space="preserve"> </w:t>
      </w:r>
      <w:r>
        <w:t xml:space="preserve">of cash settlements paid on basis and liquids hedges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$73 million net cash settlements received</w:t>
      </w:r>
    </w:p>
    <w:p>
      <w:pPr>
        <w:pStyle w:val="FirstParagraph"/>
      </w:pPr>
      <w:r>
        <w:t xml:space="preserve">This matters because Q1 included</w:t>
      </w:r>
      <w:r>
        <w:t xml:space="preserve"> </w:t>
      </w:r>
      <w:r>
        <w:rPr>
          <w:b/>
          <w:bCs/>
        </w:rPr>
        <w:t xml:space="preserve">$304 million of net cash derivative settlements paid</w:t>
      </w:r>
      <w:r>
        <w:t xml:space="preserve">. All else equal, the swing to a</w:t>
      </w:r>
      <w:r>
        <w:t xml:space="preserve"> </w:t>
      </w:r>
      <m:oMath>
        <m:r>
          <m:t>73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r</m:t>
        </m:r>
        <m:r>
          <m:t>e</m:t>
        </m:r>
        <m:r>
          <m:t>c</m:t>
        </m:r>
        <m:r>
          <m:t>e</m:t>
        </m:r>
        <m:r>
          <m:t>i</m:t>
        </m:r>
        <m:r>
          <m:t>p</m:t>
        </m:r>
        <m:r>
          <m:t>t</m:t>
        </m:r>
        <m:r>
          <m:t>i</m:t>
        </m:r>
        <m:r>
          <m:t>s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l</m:t>
        </m:r>
        <m:r>
          <m:t>y</m:t>
        </m:r>
        <m:r>
          <m:t>a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377 million quarter-over-quarter improvement in cash-settlement contribution**.</w:t>
      </w:r>
    </w:p>
    <w:p>
      <w:pPr>
        <w:pStyle w:val="BodyText"/>
      </w:pPr>
      <w:r>
        <w:t xml:space="preserve">Investors should still separate three distinct concepts: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Physical-gas realizations</w:t>
      </w:r>
      <w:r>
        <w:t xml:space="preserve"> </w:t>
      </w:r>
      <w:r>
        <w:t xml:space="preserve">— likely seasonally weaker than Q1’s winter-driven pricing.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Cash hedging impact</w:t>
      </w:r>
      <w:r>
        <w:t xml:space="preserve"> </w:t>
      </w:r>
      <w:r>
        <w:t xml:space="preserve">— now supportive in Q2 based on the pre-announcement.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Non-cash mark-to-market derivative gains/losses</w:t>
      </w:r>
      <w:r>
        <w:t xml:space="preserve"> </w:t>
      </w:r>
      <w:r>
        <w:t xml:space="preserve">— potentially material for GAAP earnings but less informative about recurring operating performance.</w:t>
      </w:r>
    </w:p>
    <w:p>
      <w:pPr>
        <w:pStyle w:val="FirstParagraph"/>
      </w:pPr>
      <w:r>
        <w:t xml:space="preserve">The cleaner earnings-quality measures remain realized price, adjusted EBITDA, adjusted operating cash flow, and free cash flow attributable to EQT.</w:t>
      </w:r>
    </w:p>
    <w:bookmarkEnd w:id="12"/>
    <w:bookmarkStart w:id="13" w:name="X082111353b54b3f3dd89b99e21f45c0d8e6e00c"/>
    <w:p>
      <w:pPr>
        <w:pStyle w:val="Heading2"/>
      </w:pPr>
      <w:r>
        <w:t xml:space="preserve">Cash flow and debt reduction: the real scorecard</w:t>
      </w:r>
    </w:p>
    <w:p>
      <w:pPr>
        <w:pStyle w:val="FirstParagraph"/>
      </w:pPr>
      <w:r>
        <w:t xml:space="preserve">Q1 set an exceptionally high base: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$1.83 billion</w:t>
      </w:r>
      <w:r>
        <w:t xml:space="preserve"> </w:t>
      </w:r>
      <w:r>
        <w:t xml:space="preserve">of free cash flow attributable to EQT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$2.55 billion</w:t>
      </w:r>
      <w:r>
        <w:t xml:space="preserve"> </w:t>
      </w:r>
      <w:r>
        <w:t xml:space="preserve">of adjusted EBITDA attributable to EQT</w:t>
      </w:r>
    </w:p>
    <w:p>
      <w:pPr>
        <w:pStyle w:val="Compact"/>
        <w:numPr>
          <w:ilvl w:val="0"/>
          <w:numId w:val="1004"/>
        </w:numPr>
      </w:pPr>
      <m:oMath>
        <m:r>
          <m:t>5.67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o</m:t>
        </m:r>
        <m:r>
          <m:t>f</m:t>
        </m:r>
        <m:r>
          <m:t>n</m:t>
        </m:r>
        <m:r>
          <m:t>e</m:t>
        </m:r>
        <m:r>
          <m:t>t</m:t>
        </m:r>
        <m:r>
          <m:t>d</m:t>
        </m:r>
        <m:r>
          <m:t>e</m:t>
        </m:r>
        <m:r>
          <m:t>b</m:t>
        </m:r>
        <m:r>
          <m:t>t</m:t>
        </m:r>
        <m:r>
          <m:t>a</m:t>
        </m:r>
        <m:r>
          <m:t>t</m:t>
        </m:r>
        <m:r>
          <m:t>M</m:t>
        </m:r>
        <m:r>
          <m:t>a</m:t>
        </m:r>
        <m:r>
          <m:t>r</m:t>
        </m:r>
        <m:r>
          <m:t>c</m:t>
        </m:r>
        <m:r>
          <m:t>h</m:t>
        </m:r>
        <m:r>
          <m:t>31</m:t>
        </m:r>
        <m:r>
          <m:rPr>
            <m:sty m:val="p"/>
          </m:rPr>
          <m:t>,</m:t>
        </m:r>
        <m:r>
          <m:t>d</m:t>
        </m:r>
        <m:r>
          <m:t>o</m:t>
        </m:r>
        <m:r>
          <m:t>w</m:t>
        </m:r>
        <m:r>
          <m:t>n</m:t>
        </m:r>
        <m:r>
          <m:t>f</m:t>
        </m:r>
        <m:r>
          <m:t>r</m:t>
        </m:r>
        <m:r>
          <m:t>o</m:t>
        </m:r>
        <m:r>
          <m:t>m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7.69 billion</w:t>
      </w:r>
      <w:r>
        <w:t xml:space="preserve"> </w:t>
      </w:r>
      <w:r>
        <w:t xml:space="preserve">at year-end 2025</w:t>
      </w:r>
    </w:p>
    <w:p>
      <w:pPr>
        <w:pStyle w:val="Compact"/>
        <w:numPr>
          <w:ilvl w:val="0"/>
          <w:numId w:val="1004"/>
        </w:numPr>
      </w:pPr>
      <w:r>
        <w:t xml:space="preserve">More than</w:t>
      </w:r>
      <w:r>
        <w:t xml:space="preserve"> </w:t>
      </w:r>
      <w:r>
        <w:rPr>
          <w:b/>
          <w:bCs/>
        </w:rPr>
        <w:t xml:space="preserve">$1.7 billion</w:t>
      </w:r>
      <w:r>
        <w:t xml:space="preserve"> </w:t>
      </w:r>
      <w:r>
        <w:t xml:space="preserve">of debt retired during the quarter</w:t>
      </w:r>
    </w:p>
    <w:p>
      <w:pPr>
        <w:pStyle w:val="FirstParagraph"/>
      </w:pPr>
      <w:r>
        <w:t xml:space="preserve">Q2 will naturally look less dramatic because Q1 benefited from peak winter pricing, very strong operating performance, and working-capital inflows. In addition, Q2 is expected to be the year’s highest spending quarter: at the midpoint, maintenance and growth capex total about</w:t>
      </w:r>
      <w:r>
        <w:t xml:space="preserve"> </w:t>
      </w:r>
      <m:oMath>
        <m:r>
          <m:t>783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p</m:t>
        </m:r>
        <m:r>
          <m:t>l</m:t>
        </m:r>
        <m:r>
          <m:t>u</m:t>
        </m:r>
        <m:r>
          <m:t>s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30 million</w:t>
      </w:r>
      <w:r>
        <w:t xml:space="preserve"> </w:t>
      </w:r>
      <w:r>
        <w:t xml:space="preserve">of equity-method investment contributions.</w:t>
      </w:r>
    </w:p>
    <w:p>
      <w:pPr>
        <w:pStyle w:val="BodyText"/>
      </w:pPr>
      <w:r>
        <w:t xml:space="preserve">Still, a strong Q2 would support management’s assertion that it can reach its</w:t>
      </w:r>
      <w:r>
        <w:t xml:space="preserve"> </w:t>
      </w:r>
      <w:r>
        <w:rPr>
          <w:b/>
          <w:bCs/>
        </w:rPr>
        <w:t xml:space="preserve">$5 billion long-term net-debt target by year-end 2026</w:t>
      </w:r>
      <w:r>
        <w:t xml:space="preserve">. The balance-sheet result is particularly important because it changes the capital-allocation discussion from “repair” to a mix of:</w:t>
      </w:r>
    </w:p>
    <w:p>
      <w:pPr>
        <w:pStyle w:val="Compact"/>
        <w:numPr>
          <w:ilvl w:val="0"/>
          <w:numId w:val="1005"/>
        </w:numPr>
      </w:pPr>
      <w:r>
        <w:t xml:space="preserve">annually growing base dividend,</w:t>
      </w:r>
    </w:p>
    <w:p>
      <w:pPr>
        <w:pStyle w:val="Compact"/>
        <w:numPr>
          <w:ilvl w:val="0"/>
          <w:numId w:val="1005"/>
        </w:numPr>
      </w:pPr>
      <w:r>
        <w:t xml:space="preserve">opportunistic share repurchases,</w:t>
      </w:r>
    </w:p>
    <w:p>
      <w:pPr>
        <w:pStyle w:val="Compact"/>
        <w:numPr>
          <w:ilvl w:val="0"/>
          <w:numId w:val="1005"/>
        </w:numPr>
      </w:pPr>
      <w:r>
        <w:t xml:space="preserve">high-return midstream expansion, and</w:t>
      </w:r>
    </w:p>
    <w:p>
      <w:pPr>
        <w:pStyle w:val="Compact"/>
        <w:numPr>
          <w:ilvl w:val="0"/>
          <w:numId w:val="1005"/>
        </w:numPr>
      </w:pPr>
      <w:r>
        <w:t xml:space="preserve">eventually, modest upstream growth if demand is sufficiently contracted and durable.</w:t>
      </w:r>
    </w:p>
    <w:bookmarkEnd w:id="13"/>
    <w:bookmarkStart w:id="14" w:name="Xee2bb2c85042fefcc2926721ef4276f409296c6"/>
    <w:p>
      <w:pPr>
        <w:pStyle w:val="Heading2"/>
      </w:pPr>
      <w:r>
        <w:t xml:space="preserve">Full-year guidance: not yet a major hurdle, but the update matters</w:t>
      </w:r>
    </w:p>
    <w:p>
      <w:pPr>
        <w:pStyle w:val="FirstParagraph"/>
      </w:pPr>
      <w:r>
        <w:t xml:space="preserve">EQT’s full-year 2026 sales-volume guidance is</w:t>
      </w:r>
      <w:r>
        <w:t xml:space="preserve"> </w:t>
      </w:r>
      <w:r>
        <w:rPr>
          <w:b/>
          <w:bCs/>
        </w:rPr>
        <w:t xml:space="preserve">2,275–2,375 Bcfe</w:t>
      </w:r>
      <w:r>
        <w:t xml:space="preserve">, with a midpoint of</w:t>
      </w:r>
      <w:r>
        <w:t xml:space="preserve"> </w:t>
      </w:r>
      <w:r>
        <w:rPr>
          <w:b/>
          <w:bCs/>
        </w:rPr>
        <w:t xml:space="preserve">2,325 Bcfe</w:t>
      </w:r>
      <w:r>
        <w:t xml:space="preserve">.</w:t>
      </w:r>
    </w:p>
    <w:p>
      <w:pPr>
        <w:pStyle w:val="BodyText"/>
      </w:pPr>
      <w:r>
        <w:t xml:space="preserve">Using Q1 actual volumes of 618 Bcfe and Q2 midpoint guidance of 595 Bcfe, EQT would reach approximately</w:t>
      </w:r>
      <w:r>
        <w:t xml:space="preserve"> </w:t>
      </w:r>
      <w:r>
        <w:rPr>
          <w:b/>
          <w:bCs/>
        </w:rPr>
        <w:t xml:space="preserve">1,213 Bcfe in the first half</w:t>
      </w:r>
      <w:r>
        <w:t xml:space="preserve">, or about</w:t>
      </w:r>
      <w:r>
        <w:t xml:space="preserve"> </w:t>
      </w:r>
      <w:r>
        <w:rPr>
          <w:b/>
          <w:bCs/>
        </w:rPr>
        <w:t xml:space="preserve">52% of the full-year midpoint</w:t>
      </w:r>
      <w:r>
        <w:t xml:space="preserve">. That makes the annual guide achievable, but it does not guarantee an increase: management has emphasized that it will optimize curtailments against the forward curve and may elect to retain flexibility during the fall.</w:t>
      </w:r>
    </w:p>
    <w:p>
      <w:pPr>
        <w:pStyle w:val="BodyText"/>
      </w:pPr>
      <w:r>
        <w:t xml:space="preserve">The most likely favorable signal would be language that the company is tracking toward the upper half of the full-year range</w:t>
      </w:r>
      <w:r>
        <w:t xml:space="preserve"> </w:t>
      </w:r>
      <w:r>
        <w:rPr>
          <w:b/>
          <w:bCs/>
        </w:rPr>
        <w:t xml:space="preserve">without sacrificing price realization or capital discipline</w:t>
      </w:r>
      <w:r>
        <w:t xml:space="preserve">. A formal guide increase is possible but not essential; what matters is whether operational productivity, TIL activity, and market conditions give management confidence in the second-half plan.</w:t>
      </w:r>
    </w:p>
    <w:bookmarkEnd w:id="14"/>
    <w:bookmarkStart w:id="17" w:name="X32ca39929b1c985f2c8cd52b9c66b82f72d1b61"/>
    <w:p>
      <w:pPr>
        <w:pStyle w:val="Heading2"/>
      </w:pPr>
      <w:r>
        <w:t xml:space="preserve">Long-term upside: demand pull, midstream projects, and LNG optionality</w:t>
      </w:r>
    </w:p>
    <w:p>
      <w:pPr>
        <w:pStyle w:val="FirstParagraph"/>
      </w:pPr>
      <w:r>
        <w:t xml:space="preserve">EQT’s strategic case increasingly rests on being more than a low-cost Appalachian producer.</w:t>
      </w:r>
    </w:p>
    <w:bookmarkStart w:id="15" w:name="X8cfd0b21182463b9db88bea597bf0c3aa7f1f5d"/>
    <w:p>
      <w:pPr>
        <w:pStyle w:val="Heading3"/>
      </w:pPr>
      <w:r>
        <w:t xml:space="preserve">1. Appalachian power and data-center demand</w:t>
      </w:r>
    </w:p>
    <w:p>
      <w:pPr>
        <w:pStyle w:val="FirstParagraph"/>
      </w:pPr>
      <w:r>
        <w:t xml:space="preserve">Management has described an expanding pipeline of gas-supply and midstream opportunities tied to power generation and data centers. It cited</w:t>
      </w:r>
      <w:r>
        <w:t xml:space="preserve"> </w:t>
      </w:r>
      <w:r>
        <w:rPr>
          <w:b/>
          <w:bCs/>
        </w:rPr>
        <w:t xml:space="preserve">2–3 Bcf/d</w:t>
      </w:r>
      <w:r>
        <w:t xml:space="preserve"> </w:t>
      </w:r>
      <w:r>
        <w:t xml:space="preserve">of demand associated with projects already partnered or announced, while characterizing its broader opportunity set as potentially much larger.</w:t>
      </w:r>
    </w:p>
    <w:p>
      <w:pPr>
        <w:pStyle w:val="BodyText"/>
      </w:pPr>
      <w:r>
        <w:t xml:space="preserve">This is the central long-term bull case: local demand growth could tighten Appalachian basis, improve EQT’s realized pricing, support midstream returns, and eventually enable disciplined upstream growth.</w:t>
      </w:r>
    </w:p>
    <w:p>
      <w:pPr>
        <w:pStyle w:val="BodyText"/>
      </w:pPr>
      <w:r>
        <w:t xml:space="preserve">But investors should distinguish between:</w:t>
      </w:r>
    </w:p>
    <w:p>
      <w:pPr>
        <w:pStyle w:val="Compact"/>
        <w:numPr>
          <w:ilvl w:val="0"/>
          <w:numId w:val="1006"/>
        </w:numPr>
      </w:pPr>
      <w:r>
        <w:t xml:space="preserve">announced projects,</w:t>
      </w:r>
    </w:p>
    <w:p>
      <w:pPr>
        <w:pStyle w:val="Compact"/>
        <w:numPr>
          <w:ilvl w:val="0"/>
          <w:numId w:val="1006"/>
        </w:numPr>
      </w:pPr>
      <w:r>
        <w:t xml:space="preserve">commercial agreements,</w:t>
      </w:r>
    </w:p>
    <w:p>
      <w:pPr>
        <w:pStyle w:val="Compact"/>
        <w:numPr>
          <w:ilvl w:val="0"/>
          <w:numId w:val="1006"/>
        </w:numPr>
      </w:pPr>
      <w:r>
        <w:t xml:space="preserve">contracted volumes,</w:t>
      </w:r>
    </w:p>
    <w:p>
      <w:pPr>
        <w:pStyle w:val="Compact"/>
        <w:numPr>
          <w:ilvl w:val="0"/>
          <w:numId w:val="1006"/>
        </w:numPr>
      </w:pPr>
      <w:r>
        <w:t xml:space="preserve">projects under construction, and</w:t>
      </w:r>
    </w:p>
    <w:p>
      <w:pPr>
        <w:pStyle w:val="Compact"/>
        <w:numPr>
          <w:ilvl w:val="0"/>
          <w:numId w:val="1006"/>
        </w:numPr>
      </w:pPr>
      <w:r>
        <w:t xml:space="preserve">speculative demand proposals.</w:t>
      </w:r>
    </w:p>
    <w:p>
      <w:pPr>
        <w:pStyle w:val="FirstParagraph"/>
      </w:pPr>
      <w:r>
        <w:t xml:space="preserve">The Q2 call should be watched for tangible milestones: definitive contracts, project FIDs, committed capital, counterparties, in-service dates, and expected returns.</w:t>
      </w:r>
    </w:p>
    <w:bookmarkEnd w:id="15"/>
    <w:bookmarkStart w:id="16" w:name="X4befed849bd80769e1af1c64ac492b3631b54e8"/>
    <w:p>
      <w:pPr>
        <w:pStyle w:val="Heading3"/>
      </w:pPr>
      <w:r>
        <w:t xml:space="preserve">2. LNG-linked international optionality</w:t>
      </w:r>
    </w:p>
    <w:p>
      <w:pPr>
        <w:pStyle w:val="FirstParagraph"/>
      </w:pPr>
      <w:r>
        <w:t xml:space="preserve">Management has also positioned EQT to access global LNG economics beginning around</w:t>
      </w:r>
      <w:r>
        <w:t xml:space="preserve"> </w:t>
      </w:r>
      <w:r>
        <w:rPr>
          <w:b/>
          <w:bCs/>
        </w:rPr>
        <w:t xml:space="preserve">2030</w:t>
      </w:r>
      <w:r>
        <w:t xml:space="preserve">, with roughly</w:t>
      </w:r>
      <w:r>
        <w:t xml:space="preserve"> </w:t>
      </w:r>
      <w:r>
        <w:rPr>
          <w:b/>
          <w:bCs/>
        </w:rPr>
        <w:t xml:space="preserve">6 million tonnes</w:t>
      </w:r>
      <w:r>
        <w:t xml:space="preserve"> </w:t>
      </w:r>
      <w:r>
        <w:t xml:space="preserve">of LNG capacity referenced on the Q1 call. At the then-current strip, EQT estimated approximately</w:t>
      </w:r>
      <w:r>
        <w:t xml:space="preserve"> </w:t>
      </w:r>
      <w:r>
        <w:rPr>
          <w:b/>
          <w:bCs/>
        </w:rPr>
        <w:t xml:space="preserve">$500 million</w:t>
      </w:r>
      <w:r>
        <w:t xml:space="preserve"> </w:t>
      </w:r>
      <w:r>
        <w:t xml:space="preserve">of annual free-cash-flow uplift once those arrangements begin, with materially higher upside in an elevated international gas-price environment.</w:t>
      </w:r>
    </w:p>
    <w:p>
      <w:pPr>
        <w:pStyle w:val="BodyText"/>
      </w:pPr>
      <w:r>
        <w:t xml:space="preserve">That opportunity is strategically attractive but long-dated. It should support the valuation narrative, not drive the Q2 earnings result.</w:t>
      </w:r>
    </w:p>
    <w:bookmarkEnd w:id="16"/>
    <w:bookmarkEnd w:id="17"/>
    <w:bookmarkStart w:id="22" w:name="X2d38596973a4228dfab2549322ac285233aabbd"/>
    <w:p>
      <w:pPr>
        <w:pStyle w:val="Heading2"/>
      </w:pPr>
      <w:r>
        <w:t xml:space="preserve">Key items to watch in the release and call</w:t>
      </w:r>
    </w:p>
    <w:bookmarkStart w:id="18" w:name="operational-execution"/>
    <w:p>
      <w:pPr>
        <w:pStyle w:val="Heading3"/>
      </w:pPr>
      <w:r>
        <w:t xml:space="preserve">Operational execution</w:t>
      </w:r>
    </w:p>
    <w:p>
      <w:pPr>
        <w:pStyle w:val="Compact"/>
        <w:numPr>
          <w:ilvl w:val="0"/>
          <w:numId w:val="1007"/>
        </w:numPr>
      </w:pPr>
      <w:r>
        <w:t xml:space="preserve">Sales volumes versus the 570–620 Bcfe range</w:t>
      </w:r>
    </w:p>
    <w:p>
      <w:pPr>
        <w:pStyle w:val="Compact"/>
        <w:numPr>
          <w:ilvl w:val="0"/>
          <w:numId w:val="1007"/>
        </w:numPr>
      </w:pPr>
      <w:r>
        <w:t xml:space="preserve">Actual curtailed volumes and the rationale for them</w:t>
      </w:r>
    </w:p>
    <w:p>
      <w:pPr>
        <w:pStyle w:val="Compact"/>
        <w:numPr>
          <w:ilvl w:val="0"/>
          <w:numId w:val="1007"/>
        </w:numPr>
      </w:pPr>
      <w:r>
        <w:t xml:space="preserve">Net wells turned in line versus the 30–45 target</w:t>
      </w:r>
    </w:p>
    <w:p>
      <w:pPr>
        <w:pStyle w:val="Compact"/>
        <w:numPr>
          <w:ilvl w:val="0"/>
          <w:numId w:val="1007"/>
        </w:numPr>
      </w:pPr>
      <w:r>
        <w:t xml:space="preserve">Any impact from weather, downtime, or infrastructure constraints</w:t>
      </w:r>
    </w:p>
    <w:bookmarkEnd w:id="18"/>
    <w:bookmarkStart w:id="19" w:name="unit-economics"/>
    <w:p>
      <w:pPr>
        <w:pStyle w:val="Heading3"/>
      </w:pPr>
      <w:r>
        <w:t xml:space="preserve">Unit economics</w:t>
      </w:r>
    </w:p>
    <w:p>
      <w:pPr>
        <w:pStyle w:val="Compact"/>
        <w:numPr>
          <w:ilvl w:val="0"/>
          <w:numId w:val="1008"/>
        </w:numPr>
      </w:pPr>
      <w:r>
        <w:t xml:space="preserve">Realized gas price and realized differential</w:t>
      </w:r>
    </w:p>
    <w:p>
      <w:pPr>
        <w:pStyle w:val="Compact"/>
        <w:numPr>
          <w:ilvl w:val="0"/>
          <w:numId w:val="1008"/>
        </w:numPr>
      </w:pPr>
      <w:r>
        <w:t xml:space="preserve">Cash operating cost per Mcfe versus the</w:t>
      </w:r>
      <w:r>
        <w:t xml:space="preserve"> </w:t>
      </w:r>
      <w:r>
        <w:rPr>
          <w:b/>
          <w:bCs/>
        </w:rPr>
        <w:t xml:space="preserve">$1.03–1.17</w:t>
      </w:r>
      <w:r>
        <w:t xml:space="preserve"> </w:t>
      </w:r>
      <w:r>
        <w:t xml:space="preserve">guide</w:t>
      </w:r>
    </w:p>
    <w:p>
      <w:pPr>
        <w:pStyle w:val="Compact"/>
        <w:numPr>
          <w:ilvl w:val="0"/>
          <w:numId w:val="1008"/>
        </w:numPr>
      </w:pPr>
      <w:r>
        <w:t xml:space="preserve">Transmission expense, gathering costs, and LOE trends</w:t>
      </w:r>
    </w:p>
    <w:p>
      <w:pPr>
        <w:pStyle w:val="Compact"/>
        <w:numPr>
          <w:ilvl w:val="0"/>
          <w:numId w:val="1008"/>
        </w:numPr>
      </w:pPr>
      <w:r>
        <w:t xml:space="preserve">Third-party midstream revenue and distributions from MVP/LMM-related investments</w:t>
      </w:r>
    </w:p>
    <w:bookmarkEnd w:id="19"/>
    <w:bookmarkStart w:id="20" w:name="capital-and-free-cash-flow"/>
    <w:p>
      <w:pPr>
        <w:pStyle w:val="Heading3"/>
      </w:pPr>
      <w:r>
        <w:t xml:space="preserve">Capital and free cash flow</w:t>
      </w:r>
    </w:p>
    <w:p>
      <w:pPr>
        <w:pStyle w:val="Compact"/>
        <w:numPr>
          <w:ilvl w:val="0"/>
          <w:numId w:val="1009"/>
        </w:numPr>
      </w:pPr>
      <w:r>
        <w:t xml:space="preserve">Total capex versus the roughly</w:t>
      </w:r>
      <w:r>
        <w:t xml:space="preserve"> </w:t>
      </w:r>
      <w:r>
        <w:rPr>
          <w:b/>
          <w:bCs/>
        </w:rPr>
        <w:t xml:space="preserve">$783 million</w:t>
      </w:r>
      <w:r>
        <w:t xml:space="preserve"> </w:t>
      </w:r>
      <w:r>
        <w:t xml:space="preserve">midpoint for maintenance plus growth spending</w:t>
      </w:r>
    </w:p>
    <w:p>
      <w:pPr>
        <w:pStyle w:val="Compact"/>
        <w:numPr>
          <w:ilvl w:val="0"/>
          <w:numId w:val="1009"/>
        </w:numPr>
      </w:pPr>
      <w:r>
        <w:t xml:space="preserve">Free cash flow attributable to EQT after peak-quarter investment</w:t>
      </w:r>
    </w:p>
    <w:p>
      <w:pPr>
        <w:pStyle w:val="Compact"/>
        <w:numPr>
          <w:ilvl w:val="0"/>
          <w:numId w:val="1009"/>
        </w:numPr>
      </w:pPr>
      <w:r>
        <w:t xml:space="preserve">Net debt at June 30 and confidence in reaching</w:t>
      </w:r>
      <w:r>
        <w:t xml:space="preserve"> </w:t>
      </w:r>
      <w:r>
        <w:rPr>
          <w:b/>
          <w:bCs/>
        </w:rPr>
        <w:t xml:space="preserve">$5 billion</w:t>
      </w:r>
      <w:r>
        <w:t xml:space="preserve"> </w:t>
      </w:r>
      <w:r>
        <w:t xml:space="preserve">by year-end</w:t>
      </w:r>
    </w:p>
    <w:p>
      <w:pPr>
        <w:pStyle w:val="Compact"/>
        <w:numPr>
          <w:ilvl w:val="0"/>
          <w:numId w:val="1009"/>
        </w:numPr>
      </w:pPr>
      <w:r>
        <w:t xml:space="preserve">Any change in buyback, dividend, or debt-retirement priorities</w:t>
      </w:r>
    </w:p>
    <w:bookmarkEnd w:id="20"/>
    <w:bookmarkStart w:id="21" w:name="strategy-and-guidance"/>
    <w:p>
      <w:pPr>
        <w:pStyle w:val="Heading3"/>
      </w:pPr>
      <w:r>
        <w:t xml:space="preserve">Strategy and guidance</w:t>
      </w:r>
    </w:p>
    <w:p>
      <w:pPr>
        <w:pStyle w:val="Compact"/>
        <w:numPr>
          <w:ilvl w:val="0"/>
          <w:numId w:val="1010"/>
        </w:numPr>
      </w:pPr>
      <w:r>
        <w:t xml:space="preserve">Full-year production and capex guidance</w:t>
      </w:r>
    </w:p>
    <w:p>
      <w:pPr>
        <w:pStyle w:val="Compact"/>
        <w:numPr>
          <w:ilvl w:val="0"/>
          <w:numId w:val="1010"/>
        </w:numPr>
      </w:pPr>
      <w:r>
        <w:t xml:space="preserve">Expectations for 2H curtailments and production shape</w:t>
      </w:r>
    </w:p>
    <w:p>
      <w:pPr>
        <w:pStyle w:val="Compact"/>
        <w:numPr>
          <w:ilvl w:val="0"/>
          <w:numId w:val="1010"/>
        </w:numPr>
      </w:pPr>
      <w:r>
        <w:t xml:space="preserve">New data-center, power-demand, or pipeline commitments</w:t>
      </w:r>
    </w:p>
    <w:p>
      <w:pPr>
        <w:pStyle w:val="Compact"/>
        <w:numPr>
          <w:ilvl w:val="0"/>
          <w:numId w:val="1010"/>
        </w:numPr>
      </w:pPr>
      <w:r>
        <w:t xml:space="preserve">Incremental details on LNG marketing, international offtake, and timing</w:t>
      </w:r>
    </w:p>
    <w:bookmarkEnd w:id="21"/>
    <w:bookmarkEnd w:id="22"/>
    <w:bookmarkStart w:id="24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EQT does not need to reproduce Q1’s record free cash flow to have a constructive Q2. It needs to show that the integrated platform is working through a lower-demand shoulder season: holding unit costs, managing capex, monetizing hedges, optimizing volumes rather than simply maximizing them, and continuing to reduce debt.</w:t>
      </w:r>
    </w:p>
    <w:p>
      <w:pPr>
        <w:pStyle w:val="BodyText"/>
      </w:pPr>
      <w:r>
        <w:rPr>
          <w:b/>
          <w:bCs/>
        </w:rPr>
        <w:t xml:space="preserve">Bull case for the print:</w:t>
      </w:r>
      <w:r>
        <w:t xml:space="preserve"> </w:t>
      </w:r>
      <w:r>
        <w:t xml:space="preserve">volume at or above the high end despite disciplined curtailments; costs and capex below guide; solid free cash flow after peak investment; net debt materially closer to $5 billion; and concrete new demand-pull or midstream-commercial milestones.</w:t>
      </w:r>
    </w:p>
    <w:p>
      <w:pPr>
        <w:pStyle w:val="BodyText"/>
      </w:pPr>
      <w:r>
        <w:rPr>
          <w:b/>
          <w:bCs/>
        </w:rPr>
        <w:t xml:space="preserve">Bear case for the print:</w:t>
      </w:r>
      <w:r>
        <w:t xml:space="preserve"> </w:t>
      </w:r>
      <w:r>
        <w:t xml:space="preserve">weak realized pricing and/or basis outweigh derivative support; curtailments appear more defensive than economic; growth capex or unit costs run high; debt reduction slows materially; or management’s demand-growth narrative remains aspirational without contractual progress.</w:t>
      </w:r>
    </w:p>
    <w:p>
      <w:r>
        <w:pict>
          <v:rect style="width:0;height:1.5pt" o:hralign="center" o:hrstd="t" o:hr="t"/>
        </w:pict>
      </w:r>
    </w:p>
    <w:bookmarkStart w:id="23" w:name="source-materials-reviewed"/>
    <w:p>
      <w:pPr>
        <w:pStyle w:val="Heading3"/>
      </w:pPr>
      <w:r>
        <w:t xml:space="preserve">Source materials reviewed</w:t>
      </w:r>
    </w:p>
    <w:p>
      <w:pPr>
        <w:pStyle w:val="Compact"/>
        <w:numPr>
          <w:ilvl w:val="0"/>
          <w:numId w:val="1011"/>
        </w:numPr>
      </w:pPr>
      <w:r>
        <w:t xml:space="preserve">EQT Q1 2026 earnings release, issued April 21, 2026</w:t>
      </w:r>
    </w:p>
    <w:p>
      <w:pPr>
        <w:pStyle w:val="Compact"/>
        <w:numPr>
          <w:ilvl w:val="0"/>
          <w:numId w:val="1011"/>
        </w:numPr>
      </w:pPr>
      <w:r>
        <w:t xml:space="preserve">EQT Q1 2026 earnings-call transcript, April 22, 2026</w:t>
      </w:r>
    </w:p>
    <w:p>
      <w:pPr>
        <w:pStyle w:val="Compact"/>
        <w:numPr>
          <w:ilvl w:val="0"/>
          <w:numId w:val="1011"/>
        </w:numPr>
      </w:pPr>
      <w:r>
        <w:t xml:space="preserve">EQT preliminary Q2 2026 derivatives 8-K, filed July 14, 2026</w:t>
      </w:r>
    </w:p>
    <w:p>
      <w:pPr>
        <w:pStyle w:val="Compact"/>
        <w:numPr>
          <w:ilvl w:val="0"/>
          <w:numId w:val="1011"/>
        </w:numPr>
      </w:pPr>
      <w:r>
        <w:t xml:space="preserve">EQT share-price history through July 20, 2026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2026-07-21T01:04:10Z</dcterms:created>
  <dcterms:modified xsi:type="dcterms:W3CDTF">2026-07-21T01:04:10Z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