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EQT Corporation (NYSE: EQT)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EQT Corporation (NYSE: EQT)</w:t>
            </w:r>
          </w:p>
        </w:tc>
      </w:tr>
      <w:tr>
        <w:tc>
          <w:tcPr>
            <w:tcW w:type="dxa" w:w="4320"/>
          </w:tcPr>
          <w:p>
            <w:r>
              <w:rPr>
                <w:rFonts w:ascii="Calibri" w:hAnsi="Calibri"/>
                <w:b/>
                <w:sz w:val="22"/>
              </w:rPr>
              <w:t>Upcoming Earnings</w:t>
            </w:r>
          </w:p>
        </w:tc>
        <w:tc>
          <w:tcPr>
            <w:tcW w:type="dxa" w:w="4320"/>
          </w:tcPr>
          <w:p>
            <w:r>
              <w:rPr>
                <w:rFonts w:ascii="Calibri" w:hAnsi="Calibri"/>
                <w:sz w:val="22"/>
              </w:rPr>
              <w:t>July 21, 2026 (after market close) | Conference Call: July 22, 2026, 10:00 a.m. ET</w:t>
            </w:r>
          </w:p>
        </w:tc>
      </w:tr>
      <w:tr>
        <w:tc>
          <w:tcPr>
            <w:tcW w:type="dxa" w:w="4320"/>
          </w:tcPr>
          <w:p>
            <w:r>
              <w:rPr>
                <w:rFonts w:ascii="Calibri" w:hAnsi="Calibri"/>
                <w:b/>
                <w:sz w:val="22"/>
              </w:rPr>
              <w:t>Prepared</w:t>
            </w:r>
          </w:p>
        </w:tc>
        <w:tc>
          <w:tcPr>
            <w:tcW w:type="dxa" w:w="4320"/>
          </w:tcPr>
          <w:p>
            <w:r>
              <w:rPr>
                <w:rFonts w:ascii="Calibri" w:hAnsi="Calibri"/>
                <w:sz w:val="22"/>
              </w:rPr>
              <w:t>July 20, 2026</w:t>
            </w:r>
          </w:p>
        </w:tc>
      </w:tr>
      <w:tr>
        <w:tc>
          <w:tcPr>
            <w:tcW w:type="dxa" w:w="4320"/>
          </w:tcPr>
          <w:p>
            <w:r>
              <w:rPr>
                <w:rFonts w:ascii="Calibri" w:hAnsi="Calibri"/>
                <w:b/>
                <w:sz w:val="22"/>
              </w:rPr>
              <w:t>Sector</w:t>
            </w:r>
          </w:p>
        </w:tc>
        <w:tc>
          <w:tcPr>
            <w:tcW w:type="dxa" w:w="4320"/>
          </w:tcPr>
          <w:p>
            <w:r>
              <w:rPr>
                <w:rFonts w:ascii="Calibri" w:hAnsi="Calibri"/>
                <w:sz w:val="22"/>
              </w:rPr>
              <w:t>Natural Gas E&amp;P — Appalachian Basin</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EQT heads into Q2 with a </w:t>
      </w:r>
      <w:r>
        <w:rPr>
          <w:rFonts w:ascii="Calibri" w:hAnsi="Calibri"/>
          <w:b/>
          <w:color w:val="525866"/>
          <w:sz w:val="22"/>
        </w:rPr>
        <w:t>low bar</w:t>
      </w:r>
      <w:r>
        <w:rPr>
          <w:rFonts w:ascii="Calibri" w:hAnsi="Calibri"/>
          <w:color w:val="525866"/>
          <w:sz w:val="22"/>
        </w:rPr>
        <w:t xml:space="preserve"> set by weaker Henry Hub pricing (~$2.77–$3.14/MMBtu vs. $3.02–$3.42 in Q2 2025), but production is expected to come in toward the </w:t>
      </w:r>
      <w:r>
        <w:rPr>
          <w:rFonts w:ascii="Calibri" w:hAnsi="Calibri"/>
          <w:b/>
          <w:color w:val="525866"/>
          <w:sz w:val="22"/>
        </w:rPr>
        <w:t>high end of guidance</w:t>
      </w:r>
      <w:r>
        <w:rPr>
          <w:rFonts w:ascii="Calibri" w:hAnsi="Calibri"/>
          <w:color w:val="525866"/>
          <w:sz w:val="22"/>
        </w:rPr>
        <w:t xml:space="preserve"> (~606 Bcfe per UBS), and the real story is whether management upgrades the </w:t>
      </w:r>
      <w:r>
        <w:rPr>
          <w:rFonts w:ascii="Calibri" w:hAnsi="Calibri"/>
          <w:b/>
          <w:color w:val="525866"/>
          <w:sz w:val="22"/>
        </w:rPr>
        <w:t>power/data center demand narrative</w:t>
      </w:r>
      <w:r>
        <w:rPr>
          <w:rFonts w:ascii="Calibri" w:hAnsi="Calibri"/>
          <w:color w:val="525866"/>
          <w:sz w:val="22"/>
        </w:rPr>
        <w:t xml:space="preserve"> and signals H2 FCF acceleration.</w:t>
      </w:r>
    </w:p>
    <w:p>
      <w:r>
        <w:rPr>
          <w:rFonts w:ascii="Calibri" w:hAnsi="Calibri"/>
          <w:color w:val="525866"/>
          <w:sz w:val="22"/>
        </w:rPr>
        <w:t xml:space="preserve">EQT enters Q2 2026 with consensus EPS of $0.43 and EBITDA of $1.12B — a structurally low bar reflecting the shoulder-season curtailment strategy (10–15 Bcf embedded in guidance) and </w:t>
      </w:r>
      <w:r>
        <w:rPr>
          <w:rFonts w:ascii="Calibri" w:hAnsi="Calibri"/>
          <w:b/>
          <w:color w:val="525866"/>
          <w:sz w:val="22"/>
        </w:rPr>
        <w:t>peak CapEx timing</w:t>
      </w:r>
      <w:r>
        <w:rPr>
          <w:rFonts w:ascii="Calibri" w:hAnsi="Calibri"/>
          <w:color w:val="525866"/>
          <w:sz w:val="22"/>
        </w:rPr>
        <w:t xml:space="preserve"> that management explicitly flagged on the Q1 call. Management declared the EQT transformation "complete" on the Q1 call, entering Q2 largely unhedged on the upside but with an in-the-money hedge book providing downside protection — a confident posture that has not shifted since April. </w:t>
      </w:r>
      <w:r>
        <w:rPr>
          <w:rFonts w:ascii="Calibri" w:hAnsi="Calibri"/>
          <w:b/>
          <w:color w:val="525866"/>
          <w:sz w:val="22"/>
        </w:rPr>
        <w:t>Estimates have been revised down sharply since Q1 earnings</w:t>
      </w:r>
      <w:r>
        <w:rPr>
          <w:rFonts w:ascii="Calibri" w:hAnsi="Calibri"/>
          <w:color w:val="525866"/>
          <w:sz w:val="22"/>
        </w:rPr>
        <w:t xml:space="preserve">: Q2 EPS is down 23% (from $0.56 to $0.43), Q2 FCF is down 26% (from $376M to $279M), and FY2026 EPS is down 9% (from $4.80 to $4.36) — all driven by lower Henry Hub, not operational deterioration, as production estimates have actually been nudged slightly higher. </w:t>
      </w:r>
      <w:r>
        <w:rPr>
          <w:rFonts w:ascii="Calibri" w:hAnsi="Calibri"/>
          <w:b/>
          <w:color w:val="525866"/>
          <w:sz w:val="22"/>
        </w:rPr>
        <w:t>The stock has significantly underperformed</w:t>
      </w:r>
      <w:r>
        <w:rPr>
          <w:rFonts w:ascii="Calibri" w:hAnsi="Calibri"/>
          <w:color w:val="525866"/>
          <w:sz w:val="22"/>
        </w:rPr>
        <w:t xml:space="preserve"> the E&amp;P sector since Q1 earnings, declining ~13.9% vs. XOP +3.1% (a ~17 percentage point gap), trading near 52-week lows around $49 against a consensus price target of $68 (~39% implied upside) — suggesting the market is pricing in a prolonged low-gas-price environment rather than the structural demand inflection EQT's management is describing. The </w:t>
      </w:r>
      <w:r>
        <w:rPr>
          <w:rFonts w:ascii="Calibri" w:hAnsi="Calibri"/>
          <w:b/>
          <w:color w:val="525866"/>
          <w:sz w:val="22"/>
        </w:rPr>
        <w:t>key wildcard</w:t>
      </w:r>
      <w:r>
        <w:rPr>
          <w:rFonts w:ascii="Calibri" w:hAnsi="Calibri"/>
          <w:color w:val="525866"/>
          <w:sz w:val="22"/>
        </w:rPr>
        <w:t xml:space="preserve"> is any update on contracted power/data center supply agreements (management cited "multiple Bcf/day" of active negotiations) or MVP Boost progress, either of which could re-rate the stock; conversely, further Henry Hub weakness or wider basis differentials remain the primary downside risk.</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w:t>
      </w:r>
      <w:r>
        <w:rPr>
          <w:rFonts w:ascii="Calibri" w:hAnsi="Calibri"/>
          <w:b/>
          <w:color w:val="525866"/>
          <w:sz w:val="22"/>
        </w:rPr>
        <w:t>low bar on earnings and FCF</w:t>
      </w:r>
      <w:r>
        <w:rPr>
          <w:rFonts w:ascii="Calibri" w:hAnsi="Calibri"/>
          <w:color w:val="525866"/>
          <w:sz w:val="22"/>
        </w:rPr>
        <w:t xml:space="preserve"> given the shoulder-season curtailment strategy and peak CapEx quarter; </w:t>
      </w:r>
      <w:r>
        <w:rPr>
          <w:rFonts w:ascii="Calibri" w:hAnsi="Calibri"/>
          <w:b/>
          <w:color w:val="525866"/>
          <w:sz w:val="22"/>
        </w:rPr>
        <w:t>production volume is the key swing factor</w:t>
      </w:r>
      <w:r>
        <w:rPr>
          <w:rFonts w:ascii="Calibri" w:hAnsi="Calibri"/>
          <w:color w:val="525866"/>
          <w:sz w:val="22"/>
        </w:rPr>
        <w:t>, with UBS expecting ~606 Bcfe toward the high end of guidance — consistent with EQT’s 8-quarter streak of production beats.</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Total Revenue</w:t>
            </w:r>
          </w:p>
        </w:tc>
        <w:tc>
          <w:tcPr>
            <w:tcW w:type="dxa" w:w="1234"/>
          </w:tcPr>
          <w:p>
            <w:r>
              <w:rPr>
                <w:rFonts w:ascii="Calibri" w:hAnsi="Calibri"/>
                <w:sz w:val="22"/>
              </w:rPr>
              <w:t>$3,379M</w:t>
            </w:r>
          </w:p>
        </w:tc>
        <w:tc>
          <w:tcPr>
            <w:tcW w:type="dxa" w:w="1234"/>
          </w:tcPr>
          <w:p>
            <w:r>
              <w:rPr>
                <w:rFonts w:ascii="Calibri" w:hAnsi="Calibri"/>
                <w:sz w:val="22"/>
              </w:rPr>
              <w:t>$2,558M</w:t>
            </w:r>
          </w:p>
        </w:tc>
        <w:tc>
          <w:tcPr>
            <w:tcW w:type="dxa" w:w="1234"/>
          </w:tcPr>
          <w:p>
            <w:r>
              <w:rPr>
                <w:rFonts w:ascii="Calibri" w:hAnsi="Calibri"/>
                <w:sz w:val="22"/>
              </w:rPr>
              <w:t>$1,792M</w:t>
            </w:r>
          </w:p>
        </w:tc>
        <w:tc>
          <w:tcPr>
            <w:tcW w:type="dxa" w:w="1234"/>
          </w:tcPr>
          <w:p>
            <w:r>
              <w:rPr>
                <w:rFonts w:ascii="Calibri" w:hAnsi="Calibri"/>
                <w:b/>
                <w:color w:val="E5484D"/>
                <w:sz w:val="22"/>
              </w:rPr>
              <w:t>-30.0%</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Adj. EPS (Diluted)</w:t>
            </w:r>
          </w:p>
        </w:tc>
        <w:tc>
          <w:tcPr>
            <w:tcW w:type="dxa" w:w="1234"/>
          </w:tcPr>
          <w:p>
            <w:r>
              <w:rPr>
                <w:rFonts w:ascii="Calibri" w:hAnsi="Calibri"/>
                <w:sz w:val="22"/>
              </w:rPr>
              <w:t>$2.33</w:t>
            </w:r>
          </w:p>
        </w:tc>
        <w:tc>
          <w:tcPr>
            <w:tcW w:type="dxa" w:w="1234"/>
          </w:tcPr>
          <w:p>
            <w:r>
              <w:rPr>
                <w:rFonts w:ascii="Calibri" w:hAnsi="Calibri"/>
                <w:sz w:val="22"/>
              </w:rPr>
              <w:t>$0.45</w:t>
            </w:r>
          </w:p>
        </w:tc>
        <w:tc>
          <w:tcPr>
            <w:tcW w:type="dxa" w:w="1234"/>
          </w:tcPr>
          <w:p>
            <w:r>
              <w:rPr>
                <w:rFonts w:ascii="Calibri" w:hAnsi="Calibri"/>
                <w:sz w:val="22"/>
              </w:rPr>
              <w:t>$0.43</w:t>
            </w:r>
          </w:p>
        </w:tc>
        <w:tc>
          <w:tcPr>
            <w:tcW w:type="dxa" w:w="1234"/>
          </w:tcPr>
          <w:p>
            <w:r>
              <w:rPr>
                <w:rFonts w:ascii="Calibri" w:hAnsi="Calibri"/>
                <w:b/>
                <w:color w:val="E5484D"/>
                <w:sz w:val="22"/>
              </w:rPr>
              <w:t>-4.4%</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EBITDA (Operating)</w:t>
            </w:r>
          </w:p>
        </w:tc>
        <w:tc>
          <w:tcPr>
            <w:tcW w:type="dxa" w:w="1234"/>
          </w:tcPr>
          <w:p>
            <w:r>
              <w:rPr>
                <w:rFonts w:ascii="Calibri" w:hAnsi="Calibri"/>
                <w:sz w:val="22"/>
              </w:rPr>
              <w:t>$2,679M</w:t>
            </w:r>
          </w:p>
        </w:tc>
        <w:tc>
          <w:tcPr>
            <w:tcW w:type="dxa" w:w="1234"/>
          </w:tcPr>
          <w:p>
            <w:r>
              <w:rPr>
                <w:rFonts w:ascii="Calibri" w:hAnsi="Calibri"/>
                <w:sz w:val="22"/>
              </w:rPr>
              <w:t>$1,158M</w:t>
            </w:r>
          </w:p>
        </w:tc>
        <w:tc>
          <w:tcPr>
            <w:tcW w:type="dxa" w:w="1234"/>
          </w:tcPr>
          <w:p>
            <w:r>
              <w:rPr>
                <w:rFonts w:ascii="Calibri" w:hAnsi="Calibri"/>
                <w:sz w:val="22"/>
              </w:rPr>
              <w:t>$1,122M</w:t>
            </w:r>
          </w:p>
        </w:tc>
        <w:tc>
          <w:tcPr>
            <w:tcW w:type="dxa" w:w="1234"/>
          </w:tcPr>
          <w:p>
            <w:r>
              <w:rPr>
                <w:rFonts w:ascii="Calibri" w:hAnsi="Calibri"/>
                <w:b/>
                <w:color w:val="E5484D"/>
                <w:sz w:val="22"/>
              </w:rPr>
              <w:t>-3.1%</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Free Cash Flow</w:t>
            </w:r>
          </w:p>
        </w:tc>
        <w:tc>
          <w:tcPr>
            <w:tcW w:type="dxa" w:w="1234"/>
          </w:tcPr>
          <w:p>
            <w:r>
              <w:rPr>
                <w:rFonts w:ascii="Calibri" w:hAnsi="Calibri"/>
                <w:sz w:val="22"/>
              </w:rPr>
              <w:t>$1,945M</w:t>
            </w:r>
          </w:p>
        </w:tc>
        <w:tc>
          <w:tcPr>
            <w:tcW w:type="dxa" w:w="1234"/>
          </w:tcPr>
          <w:p>
            <w:r>
              <w:rPr>
                <w:rFonts w:ascii="Calibri" w:hAnsi="Calibri"/>
                <w:sz w:val="22"/>
              </w:rPr>
              <w:t>$340M</w:t>
            </w:r>
          </w:p>
        </w:tc>
        <w:tc>
          <w:tcPr>
            <w:tcW w:type="dxa" w:w="1234"/>
          </w:tcPr>
          <w:p>
            <w:r>
              <w:rPr>
                <w:rFonts w:ascii="Calibri" w:hAnsi="Calibri"/>
                <w:sz w:val="22"/>
              </w:rPr>
              <w:t>$279M</w:t>
            </w:r>
          </w:p>
        </w:tc>
        <w:tc>
          <w:tcPr>
            <w:tcW w:type="dxa" w:w="1234"/>
          </w:tcPr>
          <w:p>
            <w:r>
              <w:rPr>
                <w:rFonts w:ascii="Calibri" w:hAnsi="Calibri"/>
                <w:b/>
                <w:color w:val="E5484D"/>
                <w:sz w:val="22"/>
              </w:rPr>
              <w:t>-18.0%</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Gas Equiv. Production (Bcfe)</w:t>
            </w:r>
          </w:p>
        </w:tc>
        <w:tc>
          <w:tcPr>
            <w:tcW w:type="dxa" w:w="1234"/>
          </w:tcPr>
          <w:p>
            <w:r>
              <w:rPr>
                <w:rFonts w:ascii="Calibri" w:hAnsi="Calibri"/>
                <w:sz w:val="22"/>
              </w:rPr>
              <w:t>617.7</w:t>
            </w:r>
          </w:p>
        </w:tc>
        <w:tc>
          <w:tcPr>
            <w:tcW w:type="dxa" w:w="1234"/>
          </w:tcPr>
          <w:p>
            <w:r>
              <w:rPr>
                <w:rFonts w:ascii="Calibri" w:hAnsi="Calibri"/>
                <w:sz w:val="22"/>
              </w:rPr>
              <w:t>568.2</w:t>
            </w:r>
          </w:p>
        </w:tc>
        <w:tc>
          <w:tcPr>
            <w:tcW w:type="dxa" w:w="1234"/>
          </w:tcPr>
          <w:p>
            <w:r>
              <w:rPr>
                <w:rFonts w:ascii="Calibri" w:hAnsi="Calibri"/>
                <w:sz w:val="22"/>
              </w:rPr>
              <w:t>606.6</w:t>
            </w:r>
          </w:p>
        </w:tc>
        <w:tc>
          <w:tcPr>
            <w:tcW w:type="dxa" w:w="1234"/>
          </w:tcPr>
          <w:p>
            <w:r>
              <w:rPr>
                <w:rFonts w:ascii="Calibri" w:hAnsi="Calibri"/>
                <w:b/>
                <w:color w:val="30A46C"/>
                <w:sz w:val="22"/>
              </w:rPr>
              <w:t>+6.8%</w:t>
            </w:r>
          </w:p>
        </w:tc>
        <w:tc>
          <w:tcPr>
            <w:tcW w:type="dxa" w:w="1234"/>
          </w:tcPr>
          <w:p>
            <w:r>
              <w:rPr>
                <w:rFonts w:ascii="Calibri" w:hAnsi="Calibri"/>
                <w:sz w:val="22"/>
              </w:rPr>
              <w:t>~590–620 Bcfe (10–15 Bcf curtailments embedded)</w:t>
            </w:r>
          </w:p>
        </w:tc>
        <w:tc>
          <w:tcPr>
            <w:tcW w:type="dxa" w:w="1234"/>
          </w:tcPr>
          <w:p>
            <w:r>
              <w:rPr>
                <w:rFonts w:ascii="Calibri" w:hAnsi="Calibri"/>
                <w:sz w:val="22"/>
              </w:rPr>
              <w:t>~Midpoint</w:t>
            </w:r>
          </w:p>
        </w:tc>
      </w:tr>
      <w:tr>
        <w:tc>
          <w:tcPr>
            <w:tcW w:type="dxa" w:w="1234"/>
          </w:tcPr>
          <w:p>
            <w:r>
              <w:rPr>
                <w:rFonts w:ascii="Calibri" w:hAnsi="Calibri"/>
                <w:sz w:val="22"/>
              </w:rPr>
              <w:t>Capital Expenditures</w:t>
            </w:r>
          </w:p>
        </w:tc>
        <w:tc>
          <w:tcPr>
            <w:tcW w:type="dxa" w:w="1234"/>
          </w:tcPr>
          <w:p>
            <w:r>
              <w:rPr>
                <w:rFonts w:ascii="Calibri" w:hAnsi="Calibri"/>
                <w:sz w:val="22"/>
              </w:rPr>
              <w:t>$598.5M</w:t>
            </w:r>
          </w:p>
        </w:tc>
        <w:tc>
          <w:tcPr>
            <w:tcW w:type="dxa" w:w="1234"/>
          </w:tcPr>
          <w:p>
            <w:r>
              <w:rPr>
                <w:rFonts w:ascii="Calibri" w:hAnsi="Calibri"/>
                <w:sz w:val="22"/>
              </w:rPr>
              <w:t>$549.6M</w:t>
            </w:r>
          </w:p>
        </w:tc>
        <w:tc>
          <w:tcPr>
            <w:tcW w:type="dxa" w:w="1234"/>
          </w:tcPr>
          <w:p>
            <w:r>
              <w:rPr>
                <w:rFonts w:ascii="Calibri" w:hAnsi="Calibri"/>
                <w:sz w:val="22"/>
              </w:rPr>
              <w:t>$764.0M</w:t>
            </w:r>
          </w:p>
        </w:tc>
        <w:tc>
          <w:tcPr>
            <w:tcW w:type="dxa" w:w="1234"/>
          </w:tcPr>
          <w:p>
            <w:r>
              <w:rPr>
                <w:rFonts w:ascii="Calibri" w:hAnsi="Calibri"/>
                <w:b/>
                <w:color w:val="E5484D"/>
                <w:sz w:val="22"/>
              </w:rPr>
              <w:t>+39.0%</w:t>
            </w:r>
          </w:p>
        </w:tc>
        <w:tc>
          <w:tcPr>
            <w:tcW w:type="dxa" w:w="1234"/>
          </w:tcPr>
          <w:p>
            <w:r>
              <w:rPr>
                <w:rFonts w:ascii="Calibri" w:hAnsi="Calibri"/>
                <w:sz w:val="22"/>
              </w:rPr>
              <w:t>Peak CapEx quarter per mgmt</w:t>
            </w:r>
          </w:p>
        </w:tc>
        <w:tc>
          <w:tcPr>
            <w:tcW w:type="dxa" w:w="1234"/>
          </w:tcPr>
          <w:p>
            <w:r>
              <w:rPr>
                <w:rFonts w:ascii="Calibri" w:hAnsi="Calibri"/>
                <w:sz w:val="22"/>
              </w:rPr>
              <w:t>N/A</w:t>
            </w:r>
          </w:p>
        </w:tc>
      </w:tr>
      <w:tr>
        <w:tc>
          <w:tcPr>
            <w:tcW w:type="dxa" w:w="1234"/>
          </w:tcPr>
          <w:p>
            <w:r>
              <w:rPr>
                <w:rFonts w:ascii="Calibri" w:hAnsi="Calibri"/>
                <w:sz w:val="22"/>
              </w:rPr>
              <w:t>Net Debt</w:t>
            </w:r>
          </w:p>
        </w:tc>
        <w:tc>
          <w:tcPr>
            <w:tcW w:type="dxa" w:w="1234"/>
          </w:tcPr>
          <w:p>
            <w:r>
              <w:rPr>
                <w:rFonts w:ascii="Calibri" w:hAnsi="Calibri"/>
                <w:sz w:val="22"/>
              </w:rPr>
              <w:t>$5,666M</w:t>
            </w:r>
          </w:p>
        </w:tc>
        <w:tc>
          <w:tcPr>
            <w:tcW w:type="dxa" w:w="1234"/>
          </w:tcPr>
          <w:p>
            <w:r>
              <w:rPr>
                <w:rFonts w:ascii="Calibri" w:hAnsi="Calibri"/>
                <w:sz w:val="22"/>
              </w:rPr>
              <w:t>$7,760M</w:t>
            </w:r>
          </w:p>
        </w:tc>
        <w:tc>
          <w:tcPr>
            <w:tcW w:type="dxa" w:w="1234"/>
          </w:tcPr>
          <w:p>
            <w:r>
              <w:rPr>
                <w:rFonts w:ascii="Calibri" w:hAnsi="Calibri"/>
                <w:sz w:val="22"/>
              </w:rPr>
              <w:t>$5,735M</w:t>
            </w:r>
          </w:p>
        </w:tc>
        <w:tc>
          <w:tcPr>
            <w:tcW w:type="dxa" w:w="1234"/>
          </w:tcPr>
          <w:p>
            <w:r>
              <w:rPr>
                <w:rFonts w:ascii="Calibri" w:hAnsi="Calibri"/>
                <w:b/>
                <w:color w:val="30A46C"/>
                <w:sz w:val="22"/>
              </w:rPr>
              <w:t>-26.1%</w:t>
            </w:r>
          </w:p>
        </w:tc>
        <w:tc>
          <w:tcPr>
            <w:tcW w:type="dxa" w:w="1234"/>
          </w:tcPr>
          <w:p>
            <w:r>
              <w:rPr>
                <w:rFonts w:ascii="Calibri" w:hAnsi="Calibri"/>
                <w:sz w:val="22"/>
              </w:rPr>
              <w:t>~$5B target by year-end</w:t>
            </w:r>
          </w:p>
        </w:tc>
        <w:tc>
          <w:tcPr>
            <w:tcW w:type="dxa" w:w="1234"/>
          </w:tcPr>
          <w:p>
            <w:r>
              <w:rPr>
                <w:rFonts w:ascii="Calibri" w:hAnsi="Calibri"/>
                <w:sz w:val="22"/>
              </w:rPr>
              <w:t>On Track</w:t>
            </w:r>
          </w:p>
        </w:tc>
      </w:tr>
    </w:tbl>
    <w:p>
      <w:r>
        <w:rPr>
          <w:rFonts w:ascii="Calibri" w:hAnsi="Calibri"/>
          <w:i/>
          <w:color w:val="525866"/>
          <w:sz w:val="22"/>
        </w:rPr>
        <w:t xml:space="preserve">Note: </w:t>
      </w:r>
      <w:r>
        <w:rPr>
          <w:rFonts w:ascii="Calibri" w:hAnsi="Calibri"/>
          <w:i/>
          <w:color w:val="525866"/>
          <w:sz w:val="22"/>
        </w:rPr>
        <w:t>Revenue and FCF are structurally lower in Q2 vs. Q1 due to shoulder-season pricing and curtailments. CapEx is peak for the year due to growth investment timing. All consensus figures sourced from Visible Alpha.</w:t>
      </w:r>
    </w:p>
    <w:p>
      <w:pPr>
        <w:pStyle w:val="Heading3"/>
      </w:pPr>
      <w:r>
        <w:rPr>
          <w:rFonts w:ascii="Calibri" w:hAnsi="Calibri"/>
          <w:b/>
          <w:color w:val="3B4259"/>
          <w:sz w:val="24"/>
        </w:rPr>
        <w:t>Table 2 — Beat/Miss History (Last 8 Quarters, Top 2 KPIs: Adj. EPS &amp; Gas Production)</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Quarter</w:t>
            </w:r>
          </w:p>
        </w:tc>
        <w:tc>
          <w:tcPr>
            <w:tcW w:type="dxa" w:w="1080"/>
            <w:shd w:val="clear" w:color="auto" w:fill="3B4259"/>
          </w:tcPr>
          <w:p>
            <w:r>
              <w:rPr>
                <w:rFonts w:ascii="Calibri" w:hAnsi="Calibri"/>
                <w:b/>
                <w:color w:val="FFFFFF"/>
                <w:sz w:val="22"/>
              </w:rPr>
              <w:t>EPS Reported</w:t>
            </w:r>
          </w:p>
        </w:tc>
        <w:tc>
          <w:tcPr>
            <w:tcW w:type="dxa" w:w="1080"/>
            <w:shd w:val="clear" w:color="auto" w:fill="3B4259"/>
          </w:tcPr>
          <w:p>
            <w:r>
              <w:rPr>
                <w:rFonts w:ascii="Calibri" w:hAnsi="Calibri"/>
                <w:b/>
                <w:color w:val="FFFFFF"/>
                <w:sz w:val="22"/>
              </w:rPr>
              <w:t>EPS Consensus</w:t>
            </w:r>
          </w:p>
        </w:tc>
        <w:tc>
          <w:tcPr>
            <w:tcW w:type="dxa" w:w="1080"/>
            <w:shd w:val="clear" w:color="auto" w:fill="3B4259"/>
          </w:tcPr>
          <w:p>
            <w:r>
              <w:rPr>
                <w:rFonts w:ascii="Calibri" w:hAnsi="Calibri"/>
                <w:b/>
                <w:color w:val="FFFFFF"/>
                <w:sz w:val="22"/>
              </w:rPr>
              <w:t>EPS Surprise</w:t>
            </w:r>
          </w:p>
        </w:tc>
        <w:tc>
          <w:tcPr>
            <w:tcW w:type="dxa" w:w="1080"/>
            <w:shd w:val="clear" w:color="auto" w:fill="3B4259"/>
          </w:tcPr>
          <w:p>
            <w:r>
              <w:rPr>
                <w:rFonts w:ascii="Calibri" w:hAnsi="Calibri"/>
                <w:b/>
                <w:color w:val="FFFFFF"/>
                <w:sz w:val="22"/>
              </w:rPr>
              <w:t>Production Reported (Bcfe)</w:t>
            </w:r>
          </w:p>
        </w:tc>
        <w:tc>
          <w:tcPr>
            <w:tcW w:type="dxa" w:w="1080"/>
            <w:shd w:val="clear" w:color="auto" w:fill="3B4259"/>
          </w:tcPr>
          <w:p>
            <w:r>
              <w:rPr>
                <w:rFonts w:ascii="Calibri" w:hAnsi="Calibri"/>
                <w:b/>
                <w:color w:val="FFFFFF"/>
                <w:sz w:val="22"/>
              </w:rPr>
              <w:t>Production Consensus (Bcfe)</w:t>
            </w:r>
          </w:p>
        </w:tc>
        <w:tc>
          <w:tcPr>
            <w:tcW w:type="dxa" w:w="1080"/>
            <w:shd w:val="clear" w:color="auto" w:fill="3B4259"/>
          </w:tcPr>
          <w:p>
            <w:r>
              <w:rPr>
                <w:rFonts w:ascii="Calibri" w:hAnsi="Calibri"/>
                <w:b/>
                <w:color w:val="FFFFFF"/>
                <w:sz w:val="22"/>
              </w:rPr>
              <w:t>Production Surprise</w:t>
            </w:r>
          </w:p>
        </w:tc>
        <w:tc>
          <w:tcPr>
            <w:tcW w:type="dxa" w:w="1080"/>
            <w:shd w:val="clear" w:color="auto" w:fill="3B4259"/>
          </w:tcPr>
          <w:p>
            <w:r>
              <w:rPr>
                <w:rFonts w:ascii="Calibri" w:hAnsi="Calibri"/>
                <w:b/>
                <w:color w:val="FFFFFF"/>
                <w:sz w:val="22"/>
              </w:rPr>
              <w:t>Result</w:t>
            </w:r>
          </w:p>
        </w:tc>
      </w:tr>
      <w:tr>
        <w:tc>
          <w:tcPr>
            <w:tcW w:type="dxa" w:w="1080"/>
          </w:tcPr>
          <w:p>
            <w:r>
              <w:rPr>
                <w:rFonts w:ascii="Calibri" w:hAnsi="Calibri"/>
                <w:sz w:val="22"/>
              </w:rPr>
              <w:t>Q2 2024</w:t>
            </w:r>
          </w:p>
        </w:tc>
        <w:tc>
          <w:tcPr>
            <w:tcW w:type="dxa" w:w="1080"/>
          </w:tcPr>
          <w:p>
            <w:r>
              <w:rPr>
                <w:rFonts w:ascii="Calibri" w:hAnsi="Calibri"/>
                <w:sz w:val="22"/>
              </w:rPr>
              <w:t>-$0.08</w:t>
            </w:r>
          </w:p>
        </w:tc>
        <w:tc>
          <w:tcPr>
            <w:tcW w:type="dxa" w:w="1080"/>
          </w:tcPr>
          <w:p>
            <w:r>
              <w:rPr>
                <w:rFonts w:ascii="Calibri" w:hAnsi="Calibri"/>
                <w:sz w:val="22"/>
              </w:rPr>
              <w:t>-$0.18</w:t>
            </w:r>
          </w:p>
        </w:tc>
        <w:tc>
          <w:tcPr>
            <w:tcW w:type="dxa" w:w="1080"/>
          </w:tcPr>
          <w:p>
            <w:r>
              <w:rPr>
                <w:rFonts w:ascii="Calibri" w:hAnsi="Calibri"/>
                <w:sz w:val="22"/>
              </w:rPr>
              <w:t>+$0.10</w:t>
            </w:r>
          </w:p>
        </w:tc>
        <w:tc>
          <w:tcPr>
            <w:tcW w:type="dxa" w:w="1080"/>
          </w:tcPr>
          <w:p>
            <w:r>
              <w:rPr>
                <w:rFonts w:ascii="Calibri" w:hAnsi="Calibri"/>
                <w:sz w:val="22"/>
              </w:rPr>
              <w:t>507.5</w:t>
            </w:r>
          </w:p>
        </w:tc>
        <w:tc>
          <w:tcPr>
            <w:tcW w:type="dxa" w:w="1080"/>
          </w:tcPr>
          <w:p>
            <w:r>
              <w:rPr>
                <w:rFonts w:ascii="Calibri" w:hAnsi="Calibri"/>
                <w:sz w:val="22"/>
              </w:rPr>
              <w:t>483.0</w:t>
            </w:r>
          </w:p>
        </w:tc>
        <w:tc>
          <w:tcPr>
            <w:tcW w:type="dxa" w:w="1080"/>
          </w:tcPr>
          <w:p>
            <w:r>
              <w:rPr>
                <w:rFonts w:ascii="Calibri" w:hAnsi="Calibri"/>
                <w:sz w:val="22"/>
              </w:rPr>
              <w:t>+5.1%</w:t>
            </w:r>
          </w:p>
        </w:tc>
        <w:tc>
          <w:tcPr>
            <w:tcW w:type="dxa" w:w="1080"/>
          </w:tcPr>
          <w:p>
            <w:r>
              <w:rPr>
                <w:rFonts w:ascii="Calibri" w:hAnsi="Calibri"/>
                <w:b/>
                <w:color w:val="30A46C"/>
                <w:sz w:val="22"/>
              </w:rPr>
              <w:t>Beat</w:t>
            </w:r>
          </w:p>
        </w:tc>
      </w:tr>
      <w:tr>
        <w:tc>
          <w:tcPr>
            <w:tcW w:type="dxa" w:w="1080"/>
          </w:tcPr>
          <w:p>
            <w:r>
              <w:rPr>
                <w:rFonts w:ascii="Calibri" w:hAnsi="Calibri"/>
                <w:sz w:val="22"/>
              </w:rPr>
              <w:t>Q3 2024</w:t>
            </w:r>
          </w:p>
        </w:tc>
        <w:tc>
          <w:tcPr>
            <w:tcW w:type="dxa" w:w="1080"/>
          </w:tcPr>
          <w:p>
            <w:r>
              <w:rPr>
                <w:rFonts w:ascii="Calibri" w:hAnsi="Calibri"/>
                <w:sz w:val="22"/>
              </w:rPr>
              <w:t>$0.16</w:t>
            </w:r>
          </w:p>
        </w:tc>
        <w:tc>
          <w:tcPr>
            <w:tcW w:type="dxa" w:w="1080"/>
          </w:tcPr>
          <w:p>
            <w:r>
              <w:rPr>
                <w:rFonts w:ascii="Calibri" w:hAnsi="Calibri"/>
                <w:sz w:val="22"/>
              </w:rPr>
              <w:t>$0.06</w:t>
            </w:r>
          </w:p>
        </w:tc>
        <w:tc>
          <w:tcPr>
            <w:tcW w:type="dxa" w:w="1080"/>
          </w:tcPr>
          <w:p>
            <w:r>
              <w:rPr>
                <w:rFonts w:ascii="Calibri" w:hAnsi="Calibri"/>
                <w:sz w:val="22"/>
              </w:rPr>
              <w:t>+$0.10</w:t>
            </w:r>
          </w:p>
        </w:tc>
        <w:tc>
          <w:tcPr>
            <w:tcW w:type="dxa" w:w="1080"/>
          </w:tcPr>
          <w:p>
            <w:r>
              <w:rPr>
                <w:rFonts w:ascii="Calibri" w:hAnsi="Calibri"/>
                <w:sz w:val="22"/>
              </w:rPr>
              <w:t>581.4</w:t>
            </w:r>
          </w:p>
        </w:tc>
        <w:tc>
          <w:tcPr>
            <w:tcW w:type="dxa" w:w="1080"/>
          </w:tcPr>
          <w:p>
            <w:r>
              <w:rPr>
                <w:rFonts w:ascii="Calibri" w:hAnsi="Calibri"/>
                <w:sz w:val="22"/>
              </w:rPr>
              <w:t>540.3</w:t>
            </w:r>
          </w:p>
        </w:tc>
        <w:tc>
          <w:tcPr>
            <w:tcW w:type="dxa" w:w="1080"/>
          </w:tcPr>
          <w:p>
            <w:r>
              <w:rPr>
                <w:rFonts w:ascii="Calibri" w:hAnsi="Calibri"/>
                <w:sz w:val="22"/>
              </w:rPr>
              <w:t>+7.6%</w:t>
            </w:r>
          </w:p>
        </w:tc>
        <w:tc>
          <w:tcPr>
            <w:tcW w:type="dxa" w:w="1080"/>
          </w:tcPr>
          <w:p>
            <w:r>
              <w:rPr>
                <w:rFonts w:ascii="Calibri" w:hAnsi="Calibri"/>
                <w:b/>
                <w:color w:val="30A46C"/>
                <w:sz w:val="22"/>
              </w:rPr>
              <w:t>Beat</w:t>
            </w:r>
          </w:p>
        </w:tc>
      </w:tr>
      <w:tr>
        <w:tc>
          <w:tcPr>
            <w:tcW w:type="dxa" w:w="1080"/>
          </w:tcPr>
          <w:p>
            <w:r>
              <w:rPr>
                <w:rFonts w:ascii="Calibri" w:hAnsi="Calibri"/>
                <w:sz w:val="22"/>
              </w:rPr>
              <w:t>Q4 2024</w:t>
            </w:r>
          </w:p>
        </w:tc>
        <w:tc>
          <w:tcPr>
            <w:tcW w:type="dxa" w:w="1080"/>
          </w:tcPr>
          <w:p>
            <w:r>
              <w:rPr>
                <w:rFonts w:ascii="Calibri" w:hAnsi="Calibri"/>
                <w:sz w:val="22"/>
              </w:rPr>
              <w:t>$0.69</w:t>
            </w:r>
          </w:p>
        </w:tc>
        <w:tc>
          <w:tcPr>
            <w:tcW w:type="dxa" w:w="1080"/>
          </w:tcPr>
          <w:p>
            <w:r>
              <w:rPr>
                <w:rFonts w:ascii="Calibri" w:hAnsi="Calibri"/>
                <w:sz w:val="22"/>
              </w:rPr>
              <w:t>$0.50</w:t>
            </w:r>
          </w:p>
        </w:tc>
        <w:tc>
          <w:tcPr>
            <w:tcW w:type="dxa" w:w="1080"/>
          </w:tcPr>
          <w:p>
            <w:r>
              <w:rPr>
                <w:rFonts w:ascii="Calibri" w:hAnsi="Calibri"/>
                <w:sz w:val="22"/>
              </w:rPr>
              <w:t>+$0.19</w:t>
            </w:r>
          </w:p>
        </w:tc>
        <w:tc>
          <w:tcPr>
            <w:tcW w:type="dxa" w:w="1080"/>
          </w:tcPr>
          <w:p>
            <w:r>
              <w:rPr>
                <w:rFonts w:ascii="Calibri" w:hAnsi="Calibri"/>
                <w:sz w:val="22"/>
              </w:rPr>
              <w:t>605.2</w:t>
            </w:r>
          </w:p>
        </w:tc>
        <w:tc>
          <w:tcPr>
            <w:tcW w:type="dxa" w:w="1080"/>
          </w:tcPr>
          <w:p>
            <w:r>
              <w:rPr>
                <w:rFonts w:ascii="Calibri" w:hAnsi="Calibri"/>
                <w:sz w:val="22"/>
              </w:rPr>
              <w:t>583.8</w:t>
            </w:r>
          </w:p>
        </w:tc>
        <w:tc>
          <w:tcPr>
            <w:tcW w:type="dxa" w:w="1080"/>
          </w:tcPr>
          <w:p>
            <w:r>
              <w:rPr>
                <w:rFonts w:ascii="Calibri" w:hAnsi="Calibri"/>
                <w:sz w:val="22"/>
              </w:rPr>
              <w:t>+3.7%</w:t>
            </w:r>
          </w:p>
        </w:tc>
        <w:tc>
          <w:tcPr>
            <w:tcW w:type="dxa" w:w="1080"/>
          </w:tcPr>
          <w:p>
            <w:r>
              <w:rPr>
                <w:rFonts w:ascii="Calibri" w:hAnsi="Calibri"/>
                <w:b/>
                <w:color w:val="30A46C"/>
                <w:sz w:val="22"/>
              </w:rPr>
              <w:t>Beat</w:t>
            </w:r>
          </w:p>
        </w:tc>
      </w:tr>
      <w:tr>
        <w:tc>
          <w:tcPr>
            <w:tcW w:type="dxa" w:w="1080"/>
          </w:tcPr>
          <w:p>
            <w:r>
              <w:rPr>
                <w:rFonts w:ascii="Calibri" w:hAnsi="Calibri"/>
                <w:sz w:val="22"/>
              </w:rPr>
              <w:t>Q1 2025</w:t>
            </w:r>
          </w:p>
        </w:tc>
        <w:tc>
          <w:tcPr>
            <w:tcW w:type="dxa" w:w="1080"/>
          </w:tcPr>
          <w:p>
            <w:r>
              <w:rPr>
                <w:rFonts w:ascii="Calibri" w:hAnsi="Calibri"/>
                <w:sz w:val="22"/>
              </w:rPr>
              <w:t>$1.18</w:t>
            </w:r>
          </w:p>
        </w:tc>
        <w:tc>
          <w:tcPr>
            <w:tcW w:type="dxa" w:w="1080"/>
          </w:tcPr>
          <w:p>
            <w:r>
              <w:rPr>
                <w:rFonts w:ascii="Calibri" w:hAnsi="Calibri"/>
                <w:sz w:val="22"/>
              </w:rPr>
              <w:t>$1.06</w:t>
            </w:r>
          </w:p>
        </w:tc>
        <w:tc>
          <w:tcPr>
            <w:tcW w:type="dxa" w:w="1080"/>
          </w:tcPr>
          <w:p>
            <w:r>
              <w:rPr>
                <w:rFonts w:ascii="Calibri" w:hAnsi="Calibri"/>
                <w:sz w:val="22"/>
              </w:rPr>
              <w:t>+$0.12</w:t>
            </w:r>
          </w:p>
        </w:tc>
        <w:tc>
          <w:tcPr>
            <w:tcW w:type="dxa" w:w="1080"/>
          </w:tcPr>
          <w:p>
            <w:r>
              <w:rPr>
                <w:rFonts w:ascii="Calibri" w:hAnsi="Calibri"/>
                <w:sz w:val="22"/>
              </w:rPr>
              <w:t>570.8</w:t>
            </w:r>
          </w:p>
        </w:tc>
        <w:tc>
          <w:tcPr>
            <w:tcW w:type="dxa" w:w="1080"/>
          </w:tcPr>
          <w:p>
            <w:r>
              <w:rPr>
                <w:rFonts w:ascii="Calibri" w:hAnsi="Calibri"/>
                <w:sz w:val="22"/>
              </w:rPr>
              <w:t>562.3</w:t>
            </w:r>
          </w:p>
        </w:tc>
        <w:tc>
          <w:tcPr>
            <w:tcW w:type="dxa" w:w="1080"/>
          </w:tcPr>
          <w:p>
            <w:r>
              <w:rPr>
                <w:rFonts w:ascii="Calibri" w:hAnsi="Calibri"/>
                <w:sz w:val="22"/>
              </w:rPr>
              <w:t>+1.5%</w:t>
            </w:r>
          </w:p>
        </w:tc>
        <w:tc>
          <w:tcPr>
            <w:tcW w:type="dxa" w:w="1080"/>
          </w:tcPr>
          <w:p>
            <w:r>
              <w:rPr>
                <w:rFonts w:ascii="Calibri" w:hAnsi="Calibri"/>
                <w:b/>
                <w:color w:val="30A46C"/>
                <w:sz w:val="22"/>
              </w:rPr>
              <w:t>Beat</w:t>
            </w:r>
          </w:p>
        </w:tc>
      </w:tr>
      <w:tr>
        <w:tc>
          <w:tcPr>
            <w:tcW w:type="dxa" w:w="1080"/>
          </w:tcPr>
          <w:p>
            <w:r>
              <w:rPr>
                <w:rFonts w:ascii="Calibri" w:hAnsi="Calibri"/>
                <w:sz w:val="22"/>
              </w:rPr>
              <w:t>Q2 2025</w:t>
            </w:r>
          </w:p>
        </w:tc>
        <w:tc>
          <w:tcPr>
            <w:tcW w:type="dxa" w:w="1080"/>
          </w:tcPr>
          <w:p>
            <w:r>
              <w:rPr>
                <w:rFonts w:ascii="Calibri" w:hAnsi="Calibri"/>
                <w:sz w:val="22"/>
              </w:rPr>
              <w:t>$0.45</w:t>
            </w:r>
          </w:p>
        </w:tc>
        <w:tc>
          <w:tcPr>
            <w:tcW w:type="dxa" w:w="1080"/>
          </w:tcPr>
          <w:p>
            <w:r>
              <w:rPr>
                <w:rFonts w:ascii="Calibri" w:hAnsi="Calibri"/>
                <w:sz w:val="22"/>
              </w:rPr>
              <w:t>$0.44</w:t>
            </w:r>
          </w:p>
        </w:tc>
        <w:tc>
          <w:tcPr>
            <w:tcW w:type="dxa" w:w="1080"/>
          </w:tcPr>
          <w:p>
            <w:r>
              <w:rPr>
                <w:rFonts w:ascii="Calibri" w:hAnsi="Calibri"/>
                <w:sz w:val="22"/>
              </w:rPr>
              <w:t>+$0.01</w:t>
            </w:r>
          </w:p>
        </w:tc>
        <w:tc>
          <w:tcPr>
            <w:tcW w:type="dxa" w:w="1080"/>
          </w:tcPr>
          <w:p>
            <w:r>
              <w:rPr>
                <w:rFonts w:ascii="Calibri" w:hAnsi="Calibri"/>
                <w:sz w:val="22"/>
              </w:rPr>
              <w:t>568.2</w:t>
            </w:r>
          </w:p>
        </w:tc>
        <w:tc>
          <w:tcPr>
            <w:tcW w:type="dxa" w:w="1080"/>
          </w:tcPr>
          <w:p>
            <w:r>
              <w:rPr>
                <w:rFonts w:ascii="Calibri" w:hAnsi="Calibri"/>
                <w:sz w:val="22"/>
              </w:rPr>
              <w:t>559.5</w:t>
            </w:r>
          </w:p>
        </w:tc>
        <w:tc>
          <w:tcPr>
            <w:tcW w:type="dxa" w:w="1080"/>
          </w:tcPr>
          <w:p>
            <w:r>
              <w:rPr>
                <w:rFonts w:ascii="Calibri" w:hAnsi="Calibri"/>
                <w:sz w:val="22"/>
              </w:rPr>
              <w:t>+1.6%</w:t>
            </w:r>
          </w:p>
        </w:tc>
        <w:tc>
          <w:tcPr>
            <w:tcW w:type="dxa" w:w="1080"/>
          </w:tcPr>
          <w:p>
            <w:r>
              <w:rPr>
                <w:rFonts w:ascii="Calibri" w:hAnsi="Calibri"/>
                <w:b/>
                <w:color w:val="30A46C"/>
                <w:sz w:val="22"/>
              </w:rPr>
              <w:t>Beat</w:t>
            </w:r>
          </w:p>
        </w:tc>
      </w:tr>
      <w:tr>
        <w:tc>
          <w:tcPr>
            <w:tcW w:type="dxa" w:w="1080"/>
          </w:tcPr>
          <w:p>
            <w:r>
              <w:rPr>
                <w:rFonts w:ascii="Calibri" w:hAnsi="Calibri"/>
                <w:sz w:val="22"/>
              </w:rPr>
              <w:t>Q3 2025</w:t>
            </w:r>
          </w:p>
        </w:tc>
        <w:tc>
          <w:tcPr>
            <w:tcW w:type="dxa" w:w="1080"/>
          </w:tcPr>
          <w:p>
            <w:r>
              <w:rPr>
                <w:rFonts w:ascii="Calibri" w:hAnsi="Calibri"/>
                <w:sz w:val="22"/>
              </w:rPr>
              <w:t>$0.52</w:t>
            </w:r>
          </w:p>
        </w:tc>
        <w:tc>
          <w:tcPr>
            <w:tcW w:type="dxa" w:w="1080"/>
          </w:tcPr>
          <w:p>
            <w:r>
              <w:rPr>
                <w:rFonts w:ascii="Calibri" w:hAnsi="Calibri"/>
                <w:sz w:val="22"/>
              </w:rPr>
              <w:t>$0.40</w:t>
            </w:r>
          </w:p>
        </w:tc>
        <w:tc>
          <w:tcPr>
            <w:tcW w:type="dxa" w:w="1080"/>
          </w:tcPr>
          <w:p>
            <w:r>
              <w:rPr>
                <w:rFonts w:ascii="Calibri" w:hAnsi="Calibri"/>
                <w:sz w:val="22"/>
              </w:rPr>
              <w:t>+$0.12</w:t>
            </w:r>
          </w:p>
        </w:tc>
        <w:tc>
          <w:tcPr>
            <w:tcW w:type="dxa" w:w="1080"/>
          </w:tcPr>
          <w:p>
            <w:r>
              <w:rPr>
                <w:rFonts w:ascii="Calibri" w:hAnsi="Calibri"/>
                <w:sz w:val="22"/>
              </w:rPr>
              <w:t>634.4</w:t>
            </w:r>
          </w:p>
        </w:tc>
        <w:tc>
          <w:tcPr>
            <w:tcW w:type="dxa" w:w="1080"/>
          </w:tcPr>
          <w:p>
            <w:r>
              <w:rPr>
                <w:rFonts w:ascii="Calibri" w:hAnsi="Calibri"/>
                <w:sz w:val="22"/>
              </w:rPr>
              <w:t>621.4</w:t>
            </w:r>
          </w:p>
        </w:tc>
        <w:tc>
          <w:tcPr>
            <w:tcW w:type="dxa" w:w="1080"/>
          </w:tcPr>
          <w:p>
            <w:r>
              <w:rPr>
                <w:rFonts w:ascii="Calibri" w:hAnsi="Calibri"/>
                <w:sz w:val="22"/>
              </w:rPr>
              <w:t>+2.1%</w:t>
            </w:r>
          </w:p>
        </w:tc>
        <w:tc>
          <w:tcPr>
            <w:tcW w:type="dxa" w:w="1080"/>
          </w:tcPr>
          <w:p>
            <w:r>
              <w:rPr>
                <w:rFonts w:ascii="Calibri" w:hAnsi="Calibri"/>
                <w:b/>
                <w:color w:val="30A46C"/>
                <w:sz w:val="22"/>
              </w:rPr>
              <w:t>Beat</w:t>
            </w:r>
          </w:p>
        </w:tc>
      </w:tr>
      <w:tr>
        <w:tc>
          <w:tcPr>
            <w:tcW w:type="dxa" w:w="1080"/>
          </w:tcPr>
          <w:p>
            <w:r>
              <w:rPr>
                <w:rFonts w:ascii="Calibri" w:hAnsi="Calibri"/>
                <w:sz w:val="22"/>
              </w:rPr>
              <w:t>Q4 2025</w:t>
            </w:r>
          </w:p>
        </w:tc>
        <w:tc>
          <w:tcPr>
            <w:tcW w:type="dxa" w:w="1080"/>
          </w:tcPr>
          <w:p>
            <w:r>
              <w:rPr>
                <w:rFonts w:ascii="Calibri" w:hAnsi="Calibri"/>
                <w:sz w:val="22"/>
              </w:rPr>
              <w:t>$0.90</w:t>
            </w:r>
          </w:p>
        </w:tc>
        <w:tc>
          <w:tcPr>
            <w:tcW w:type="dxa" w:w="1080"/>
          </w:tcPr>
          <w:p>
            <w:r>
              <w:rPr>
                <w:rFonts w:ascii="Calibri" w:hAnsi="Calibri"/>
                <w:sz w:val="22"/>
              </w:rPr>
              <w:t>$0.77</w:t>
            </w:r>
          </w:p>
        </w:tc>
        <w:tc>
          <w:tcPr>
            <w:tcW w:type="dxa" w:w="1080"/>
          </w:tcPr>
          <w:p>
            <w:r>
              <w:rPr>
                <w:rFonts w:ascii="Calibri" w:hAnsi="Calibri"/>
                <w:sz w:val="22"/>
              </w:rPr>
              <w:t>+$0.13</w:t>
            </w:r>
          </w:p>
        </w:tc>
        <w:tc>
          <w:tcPr>
            <w:tcW w:type="dxa" w:w="1080"/>
          </w:tcPr>
          <w:p>
            <w:r>
              <w:rPr>
                <w:rFonts w:ascii="Calibri" w:hAnsi="Calibri"/>
                <w:sz w:val="22"/>
              </w:rPr>
              <w:t>609.0</w:t>
            </w:r>
          </w:p>
        </w:tc>
        <w:tc>
          <w:tcPr>
            <w:tcW w:type="dxa" w:w="1080"/>
          </w:tcPr>
          <w:p>
            <w:r>
              <w:rPr>
                <w:rFonts w:ascii="Calibri" w:hAnsi="Calibri"/>
                <w:sz w:val="22"/>
              </w:rPr>
              <w:t>598.5</w:t>
            </w:r>
          </w:p>
        </w:tc>
        <w:tc>
          <w:tcPr>
            <w:tcW w:type="dxa" w:w="1080"/>
          </w:tcPr>
          <w:p>
            <w:r>
              <w:rPr>
                <w:rFonts w:ascii="Calibri" w:hAnsi="Calibri"/>
                <w:sz w:val="22"/>
              </w:rPr>
              <w:t>+1.8%</w:t>
            </w:r>
          </w:p>
        </w:tc>
        <w:tc>
          <w:tcPr>
            <w:tcW w:type="dxa" w:w="1080"/>
          </w:tcPr>
          <w:p>
            <w:r>
              <w:rPr>
                <w:rFonts w:ascii="Calibri" w:hAnsi="Calibri"/>
                <w:b/>
                <w:color w:val="30A46C"/>
                <w:sz w:val="22"/>
              </w:rPr>
              <w:t>Beat</w:t>
            </w:r>
          </w:p>
        </w:tc>
      </w:tr>
      <w:tr>
        <w:tc>
          <w:tcPr>
            <w:tcW w:type="dxa" w:w="1080"/>
          </w:tcPr>
          <w:p>
            <w:r>
              <w:rPr>
                <w:rFonts w:ascii="Calibri" w:hAnsi="Calibri"/>
                <w:sz w:val="22"/>
              </w:rPr>
              <w:t>Q1 2026</w:t>
            </w:r>
          </w:p>
        </w:tc>
        <w:tc>
          <w:tcPr>
            <w:tcW w:type="dxa" w:w="1080"/>
          </w:tcPr>
          <w:p>
            <w:r>
              <w:rPr>
                <w:rFonts w:ascii="Calibri" w:hAnsi="Calibri"/>
                <w:sz w:val="22"/>
              </w:rPr>
              <w:t>$2.33</w:t>
            </w:r>
          </w:p>
        </w:tc>
        <w:tc>
          <w:tcPr>
            <w:tcW w:type="dxa" w:w="1080"/>
          </w:tcPr>
          <w:p>
            <w:r>
              <w:rPr>
                <w:rFonts w:ascii="Calibri" w:hAnsi="Calibri"/>
                <w:sz w:val="22"/>
              </w:rPr>
              <w:t>$2.05</w:t>
            </w:r>
          </w:p>
        </w:tc>
        <w:tc>
          <w:tcPr>
            <w:tcW w:type="dxa" w:w="1080"/>
          </w:tcPr>
          <w:p>
            <w:r>
              <w:rPr>
                <w:rFonts w:ascii="Calibri" w:hAnsi="Calibri"/>
                <w:sz w:val="22"/>
              </w:rPr>
              <w:t>+$0.28</w:t>
            </w:r>
          </w:p>
        </w:tc>
        <w:tc>
          <w:tcPr>
            <w:tcW w:type="dxa" w:w="1080"/>
          </w:tcPr>
          <w:p>
            <w:r>
              <w:rPr>
                <w:rFonts w:ascii="Calibri" w:hAnsi="Calibri"/>
                <w:sz w:val="22"/>
              </w:rPr>
              <w:t>617.7</w:t>
            </w:r>
          </w:p>
        </w:tc>
        <w:tc>
          <w:tcPr>
            <w:tcW w:type="dxa" w:w="1080"/>
          </w:tcPr>
          <w:p>
            <w:r>
              <w:rPr>
                <w:rFonts w:ascii="Calibri" w:hAnsi="Calibri"/>
                <w:sz w:val="22"/>
              </w:rPr>
              <w:t>596.5</w:t>
            </w:r>
          </w:p>
        </w:tc>
        <w:tc>
          <w:tcPr>
            <w:tcW w:type="dxa" w:w="1080"/>
          </w:tcPr>
          <w:p>
            <w:r>
              <w:rPr>
                <w:rFonts w:ascii="Calibri" w:hAnsi="Calibri"/>
                <w:sz w:val="22"/>
              </w:rPr>
              <w:t>+3.6%</w:t>
            </w:r>
          </w:p>
        </w:tc>
        <w:tc>
          <w:tcPr>
            <w:tcW w:type="dxa" w:w="108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EQT has beaten on both EPS and production in each of the last 8 consecutive quarters, with an average EPS beat of ~$0.13 and production consistently 2–8% above consensus. A production beat is likely again in Q2, but the magnitude of the EPS beat will be constrained by lower Henry Hub pricing (~$2.77–$3.14/MMBtu vs. $3.02–$3.42 in Q2 2025).</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No formal guidance revision since Q1 earnings; management signaled they are </w:t>
      </w:r>
      <w:r>
        <w:rPr>
          <w:rFonts w:ascii="Calibri" w:hAnsi="Calibri"/>
          <w:b/>
          <w:color w:val="525866"/>
          <w:sz w:val="22"/>
        </w:rPr>
        <w:t>“at least at midpoint of guide”</w:t>
      </w:r>
      <w:r>
        <w:rPr>
          <w:rFonts w:ascii="Calibri" w:hAnsi="Calibri"/>
          <w:color w:val="525866"/>
          <w:sz w:val="22"/>
        </w:rPr>
        <w:t xml:space="preserve"> through Q1 and will consider a full-year update at midyear. </w:t>
      </w:r>
      <w:r>
        <w:rPr>
          <w:rFonts w:ascii="Calibri" w:hAnsi="Calibri"/>
          <w:b/>
          <w:color w:val="525866"/>
          <w:sz w:val="22"/>
        </w:rPr>
        <w:t>Q2 is the peak CapEx quarter</w:t>
      </w:r>
      <w:r>
        <w:rPr>
          <w:rFonts w:ascii="Calibri" w:hAnsi="Calibri"/>
          <w:color w:val="525866"/>
          <w:sz w:val="22"/>
        </w:rPr>
        <w:t xml:space="preserve"> with FCF expected to accelerate sharply in H2 as capital spending declines meaningfully into Q3 and Q4.</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21)</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Production</w:t>
            </w:r>
          </w:p>
        </w:tc>
        <w:tc>
          <w:tcPr>
            <w:tcW w:type="dxa" w:w="1728"/>
          </w:tcPr>
          <w:p>
            <w:r>
              <w:rPr>
                <w:rFonts w:ascii="Calibri" w:hAnsi="Calibri"/>
                <w:sz w:val="22"/>
              </w:rPr>
              <w:t>~2.4 Bcfe/day (implied from quarterly guidance)</w:t>
            </w:r>
          </w:p>
        </w:tc>
        <w:tc>
          <w:tcPr>
            <w:tcW w:type="dxa" w:w="1728"/>
          </w:tcPr>
          <w:p>
            <w:r>
              <w:rPr>
                <w:rFonts w:ascii="Calibri" w:hAnsi="Calibri"/>
                <w:sz w:val="22"/>
              </w:rPr>
              <w:t>— No change</w:t>
            </w:r>
          </w:p>
        </w:tc>
        <w:tc>
          <w:tcPr>
            <w:tcW w:type="dxa" w:w="1728"/>
          </w:tcPr>
          <w:p>
            <w:r>
              <w:rPr>
                <w:rFonts w:ascii="Calibri" w:hAnsi="Calibri"/>
                <w:sz w:val="22"/>
              </w:rPr>
              <w:t>2,399 Bcfe (FY)</w:t>
            </w:r>
          </w:p>
        </w:tc>
        <w:tc>
          <w:tcPr>
            <w:tcW w:type="dxa" w:w="1728"/>
          </w:tcPr>
          <w:p>
            <w:r>
              <w:rPr>
                <w:rFonts w:ascii="Calibri" w:hAnsi="Calibri"/>
                <w:sz w:val="22"/>
              </w:rPr>
              <w:t>10–15 Bcf Q2 curtailments embedded; optimization strategy</w:t>
            </w:r>
          </w:p>
        </w:tc>
      </w:tr>
      <w:tr>
        <w:tc>
          <w:tcPr>
            <w:tcW w:type="dxa" w:w="1728"/>
          </w:tcPr>
          <w:p>
            <w:r>
              <w:rPr>
                <w:rFonts w:ascii="Calibri" w:hAnsi="Calibri"/>
                <w:sz w:val="22"/>
              </w:rPr>
              <w:t>FY2026 CapEx</w:t>
            </w:r>
          </w:p>
        </w:tc>
        <w:tc>
          <w:tcPr>
            <w:tcW w:type="dxa" w:w="1728"/>
          </w:tcPr>
          <w:p>
            <w:r>
              <w:rPr>
                <w:rFonts w:ascii="Calibri" w:hAnsi="Calibri"/>
                <w:sz w:val="22"/>
              </w:rPr>
              <w:t>~$2.7B (implied)</w:t>
            </w:r>
          </w:p>
        </w:tc>
        <w:tc>
          <w:tcPr>
            <w:tcW w:type="dxa" w:w="1728"/>
          </w:tcPr>
          <w:p>
            <w:r>
              <w:rPr>
                <w:rFonts w:ascii="Calibri" w:hAnsi="Calibri"/>
                <w:sz w:val="22"/>
              </w:rPr>
              <w:t>— No change</w:t>
            </w:r>
          </w:p>
        </w:tc>
        <w:tc>
          <w:tcPr>
            <w:tcW w:type="dxa" w:w="1728"/>
          </w:tcPr>
          <w:p>
            <w:r>
              <w:rPr>
                <w:rFonts w:ascii="Calibri" w:hAnsi="Calibri"/>
                <w:sz w:val="22"/>
              </w:rPr>
              <w:t>$2,705M</w:t>
            </w:r>
          </w:p>
        </w:tc>
        <w:tc>
          <w:tcPr>
            <w:tcW w:type="dxa" w:w="1728"/>
          </w:tcPr>
          <w:p>
            <w:r>
              <w:rPr>
                <w:rFonts w:ascii="Calibri" w:hAnsi="Calibri"/>
                <w:sz w:val="22"/>
              </w:rPr>
              <w:t>Q2 is peak; meaningful declines in H2 expected</w:t>
            </w:r>
          </w:p>
        </w:tc>
      </w:tr>
      <w:tr>
        <w:tc>
          <w:tcPr>
            <w:tcW w:type="dxa" w:w="1728"/>
          </w:tcPr>
          <w:p>
            <w:r>
              <w:rPr>
                <w:rFonts w:ascii="Calibri" w:hAnsi="Calibri"/>
                <w:sz w:val="22"/>
              </w:rPr>
              <w:t>FY2026 FCF</w:t>
            </w:r>
          </w:p>
        </w:tc>
        <w:tc>
          <w:tcPr>
            <w:tcW w:type="dxa" w:w="1728"/>
          </w:tcPr>
          <w:p>
            <w:r>
              <w:rPr>
                <w:rFonts w:ascii="Calibri" w:hAnsi="Calibri"/>
                <w:sz w:val="22"/>
              </w:rPr>
              <w:t>~$3.5–$4.0B (implied)</w:t>
            </w:r>
          </w:p>
        </w:tc>
        <w:tc>
          <w:tcPr>
            <w:tcW w:type="dxa" w:w="1728"/>
          </w:tcPr>
          <w:p>
            <w:r>
              <w:rPr>
                <w:rFonts w:ascii="Calibri" w:hAnsi="Calibri"/>
                <w:sz w:val="22"/>
              </w:rPr>
              <w:t>— No change</w:t>
            </w:r>
          </w:p>
        </w:tc>
        <w:tc>
          <w:tcPr>
            <w:tcW w:type="dxa" w:w="1728"/>
          </w:tcPr>
          <w:p>
            <w:r>
              <w:rPr>
                <w:rFonts w:ascii="Calibri" w:hAnsi="Calibri"/>
                <w:sz w:val="22"/>
              </w:rPr>
              <w:t>$3,621M</w:t>
            </w:r>
          </w:p>
        </w:tc>
        <w:tc>
          <w:tcPr>
            <w:tcW w:type="dxa" w:w="1728"/>
          </w:tcPr>
          <w:p>
            <w:r>
              <w:rPr>
                <w:rFonts w:ascii="Calibri" w:hAnsi="Calibri"/>
                <w:sz w:val="22"/>
              </w:rPr>
              <w:t>“At least at midpoint of guide” per mgmt; H2 FCF acceleration expected</w:t>
            </w:r>
          </w:p>
        </w:tc>
      </w:tr>
      <w:tr>
        <w:tc>
          <w:tcPr>
            <w:tcW w:type="dxa" w:w="1728"/>
          </w:tcPr>
          <w:p>
            <w:r>
              <w:rPr>
                <w:rFonts w:ascii="Calibri" w:hAnsi="Calibri"/>
                <w:sz w:val="22"/>
              </w:rPr>
              <w:t>Q2 2026 Production</w:t>
            </w:r>
          </w:p>
        </w:tc>
        <w:tc>
          <w:tcPr>
            <w:tcW w:type="dxa" w:w="1728"/>
          </w:tcPr>
          <w:p>
            <w:r>
              <w:rPr>
                <w:rFonts w:ascii="Calibri" w:hAnsi="Calibri"/>
                <w:sz w:val="22"/>
              </w:rPr>
              <w:t>~590–620 Bcfe (implied, with curtailments)</w:t>
            </w:r>
          </w:p>
        </w:tc>
        <w:tc>
          <w:tcPr>
            <w:tcW w:type="dxa" w:w="1728"/>
          </w:tcPr>
          <w:p>
            <w:r>
              <w:rPr>
                <w:rFonts w:ascii="Calibri" w:hAnsi="Calibri"/>
                <w:sz w:val="22"/>
              </w:rPr>
              <w:t>— No change</w:t>
            </w:r>
          </w:p>
        </w:tc>
        <w:tc>
          <w:tcPr>
            <w:tcW w:type="dxa" w:w="1728"/>
          </w:tcPr>
          <w:p>
            <w:r>
              <w:rPr>
                <w:rFonts w:ascii="Calibri" w:hAnsi="Calibri"/>
                <w:sz w:val="22"/>
              </w:rPr>
              <w:t>606.6 Bcfe</w:t>
            </w:r>
          </w:p>
        </w:tc>
        <w:tc>
          <w:tcPr>
            <w:tcW w:type="dxa" w:w="1728"/>
          </w:tcPr>
          <w:p>
            <w:r>
              <w:rPr>
                <w:rFonts w:ascii="Calibri" w:hAnsi="Calibri"/>
                <w:sz w:val="22"/>
              </w:rPr>
              <w:t>10–15 Bcf curtailments embedded; curtailments act as “synthetic storage”</w:t>
            </w:r>
          </w:p>
        </w:tc>
      </w:tr>
      <w:tr>
        <w:tc>
          <w:tcPr>
            <w:tcW w:type="dxa" w:w="1728"/>
          </w:tcPr>
          <w:p>
            <w:r>
              <w:rPr>
                <w:rFonts w:ascii="Calibri" w:hAnsi="Calibri"/>
                <w:sz w:val="22"/>
              </w:rPr>
              <w:t>Net Debt Target</w:t>
            </w:r>
          </w:p>
        </w:tc>
        <w:tc>
          <w:tcPr>
            <w:tcW w:type="dxa" w:w="1728"/>
          </w:tcPr>
          <w:p>
            <w:r>
              <w:rPr>
                <w:rFonts w:ascii="Calibri" w:hAnsi="Calibri"/>
                <w:sz w:val="22"/>
              </w:rPr>
              <w:t>$5B by year-end 2026</w:t>
            </w:r>
          </w:p>
        </w:tc>
        <w:tc>
          <w:tcPr>
            <w:tcW w:type="dxa" w:w="1728"/>
          </w:tcPr>
          <w:p>
            <w:r>
              <w:rPr>
                <w:rFonts w:ascii="Calibri" w:hAnsi="Calibri"/>
                <w:sz w:val="22"/>
              </w:rPr>
              <w:t>— No change</w:t>
            </w:r>
          </w:p>
        </w:tc>
        <w:tc>
          <w:tcPr>
            <w:tcW w:type="dxa" w:w="1728"/>
          </w:tcPr>
          <w:p>
            <w:r>
              <w:rPr>
                <w:rFonts w:ascii="Calibri" w:hAnsi="Calibri"/>
                <w:sz w:val="22"/>
              </w:rPr>
              <w:t>$5,735M (Q2E)</w:t>
            </w:r>
          </w:p>
        </w:tc>
        <w:tc>
          <w:tcPr>
            <w:tcW w:type="dxa" w:w="1728"/>
          </w:tcPr>
          <w:p>
            <w:r>
              <w:rPr>
                <w:rFonts w:ascii="Calibri" w:hAnsi="Calibri"/>
                <w:sz w:val="22"/>
              </w:rPr>
              <w:t>Fitch upgraded to BBB; leverage below 1x net debt/EBITDA</w:t>
            </w:r>
          </w:p>
        </w:tc>
      </w:tr>
      <w:tr>
        <w:tc>
          <w:tcPr>
            <w:tcW w:type="dxa" w:w="1728"/>
          </w:tcPr>
          <w:p>
            <w:r>
              <w:rPr>
                <w:rFonts w:ascii="Calibri" w:hAnsi="Calibri"/>
                <w:sz w:val="22"/>
              </w:rPr>
              <w:t>LNG Portfolio FCF</w:t>
            </w:r>
          </w:p>
        </w:tc>
        <w:tc>
          <w:tcPr>
            <w:tcW w:type="dxa" w:w="1728"/>
          </w:tcPr>
          <w:p>
            <w:r>
              <w:rPr>
                <w:rFonts w:ascii="Calibri" w:hAnsi="Calibri"/>
                <w:sz w:val="22"/>
              </w:rPr>
              <w:t>$500M/yr uplift at strip when online 2030</w:t>
            </w:r>
          </w:p>
        </w:tc>
        <w:tc>
          <w:tcPr>
            <w:tcW w:type="dxa" w:w="1728"/>
          </w:tcPr>
          <w:p>
            <w:r>
              <w:rPr>
                <w:rFonts w:ascii="Calibri" w:hAnsi="Calibri"/>
                <w:sz w:val="22"/>
              </w:rPr>
              <w:t>— No change</w:t>
            </w:r>
          </w:p>
        </w:tc>
        <w:tc>
          <w:tcPr>
            <w:tcW w:type="dxa" w:w="1728"/>
          </w:tcPr>
          <w:p>
            <w:r>
              <w:rPr>
                <w:rFonts w:ascii="Calibri" w:hAnsi="Calibri"/>
                <w:sz w:val="22"/>
              </w:rPr>
              <w:t>N/A</w:t>
            </w:r>
          </w:p>
        </w:tc>
        <w:tc>
          <w:tcPr>
            <w:tcW w:type="dxa" w:w="1728"/>
          </w:tcPr>
          <w:p>
            <w:r>
              <w:rPr>
                <w:rFonts w:ascii="Calibri" w:hAnsi="Calibri"/>
                <w:sz w:val="22"/>
              </w:rPr>
              <w:t>Could reach $2.5B in high-volatility environment; formal offtake agreements expected 2028–2029</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revised down materially since Q1 earnings, driven entirely by </w:t>
      </w:r>
      <w:r>
        <w:rPr>
          <w:rFonts w:ascii="Calibri" w:hAnsi="Calibri"/>
          <w:b/>
          <w:color w:val="525866"/>
          <w:sz w:val="22"/>
        </w:rPr>
        <w:t>lower Henry Hub pricing</w:t>
      </w:r>
      <w:r>
        <w:rPr>
          <w:rFonts w:ascii="Calibri" w:hAnsi="Calibri"/>
          <w:color w:val="525866"/>
          <w:sz w:val="22"/>
        </w:rPr>
        <w:t xml:space="preserve"> — Q2 EPS is down 23% and FY2026 EPS is down 9% from the post-Q1 baseline. </w:t>
      </w:r>
      <w:r>
        <w:rPr>
          <w:rFonts w:ascii="Calibri" w:hAnsi="Calibri"/>
          <w:b/>
          <w:color w:val="525866"/>
          <w:sz w:val="22"/>
        </w:rPr>
        <w:t>Production estimates have actually been nudged slightly higher</w:t>
      </w:r>
      <w:r>
        <w:rPr>
          <w:rFonts w:ascii="Calibri" w:hAnsi="Calibri"/>
          <w:color w:val="525866"/>
          <w:sz w:val="22"/>
        </w:rPr>
        <w:t>, confirming the downward pressure is price-driven, not operational, and the bar is now lower than management’s own expectations.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Period</w:t>
            </w:r>
          </w:p>
        </w:tc>
        <w:tc>
          <w:tcPr>
            <w:tcW w:type="dxa" w:w="1234"/>
            <w:shd w:val="clear" w:color="auto" w:fill="3B4259"/>
          </w:tcPr>
          <w:p>
            <w:r>
              <w:rPr>
                <w:rFonts w:ascii="Calibri" w:hAnsi="Calibri"/>
                <w:b/>
                <w:color w:val="FFFFFF"/>
                <w:sz w:val="22"/>
              </w:rPr>
              <w:t>Estimate (Apr 28, 2026 — Post-Q1 Baseline)</w:t>
            </w:r>
          </w:p>
        </w:tc>
        <w:tc>
          <w:tcPr>
            <w:tcW w:type="dxa" w:w="1234"/>
            <w:shd w:val="clear" w:color="auto" w:fill="3B4259"/>
          </w:tcPr>
          <w:p>
            <w:r>
              <w:rPr>
                <w:rFonts w:ascii="Calibri" w:hAnsi="Calibri"/>
                <w:b/>
                <w:color w:val="FFFFFF"/>
                <w:sz w:val="22"/>
              </w:rPr>
              <w:t>Current Estimate (Jul 18, 2026)</w:t>
            </w:r>
          </w:p>
        </w:tc>
        <w:tc>
          <w:tcPr>
            <w:tcW w:type="dxa" w:w="1234"/>
            <w:shd w:val="clear" w:color="auto" w:fill="3B4259"/>
          </w:tcPr>
          <w:p>
            <w:r>
              <w:rPr>
                <w:rFonts w:ascii="Calibri" w:hAnsi="Calibri"/>
                <w:b/>
                <w:color w:val="FFFFFF"/>
                <w:sz w:val="22"/>
              </w:rPr>
              <w:t>Estimate Delta (%)</w:t>
            </w:r>
          </w:p>
        </w:tc>
        <w:tc>
          <w:tcPr>
            <w:tcW w:type="dxa" w:w="1234"/>
            <w:shd w:val="clear" w:color="auto" w:fill="3B4259"/>
          </w:tcPr>
          <w:p>
            <w:r>
              <w:rPr>
                <w:rFonts w:ascii="Calibri" w:hAnsi="Calibri"/>
                <w:b/>
                <w:color w:val="FFFFFF"/>
                <w:sz w:val="22"/>
              </w:rPr>
              <w:t>Initial Guidance (Q1 Call)</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Adj. EPS</w:t>
            </w:r>
          </w:p>
        </w:tc>
        <w:tc>
          <w:tcPr>
            <w:tcW w:type="dxa" w:w="1234"/>
          </w:tcPr>
          <w:p>
            <w:r>
              <w:rPr>
                <w:rFonts w:ascii="Calibri" w:hAnsi="Calibri"/>
                <w:sz w:val="22"/>
              </w:rPr>
              <w:t>Q2 2026</w:t>
            </w:r>
          </w:p>
        </w:tc>
        <w:tc>
          <w:tcPr>
            <w:tcW w:type="dxa" w:w="1234"/>
          </w:tcPr>
          <w:p>
            <w:r>
              <w:rPr>
                <w:rFonts w:ascii="Calibri" w:hAnsi="Calibri"/>
                <w:sz w:val="22"/>
              </w:rPr>
              <w:t>$0.56</w:t>
            </w:r>
          </w:p>
        </w:tc>
        <w:tc>
          <w:tcPr>
            <w:tcW w:type="dxa" w:w="1234"/>
          </w:tcPr>
          <w:p>
            <w:r>
              <w:rPr>
                <w:rFonts w:ascii="Calibri" w:hAnsi="Calibri"/>
                <w:sz w:val="22"/>
              </w:rPr>
              <w:t>$0.43</w:t>
            </w:r>
          </w:p>
        </w:tc>
        <w:tc>
          <w:tcPr>
            <w:tcW w:type="dxa" w:w="1234"/>
          </w:tcPr>
          <w:p>
            <w:r>
              <w:rPr>
                <w:rFonts w:ascii="Calibri" w:hAnsi="Calibri"/>
                <w:b/>
                <w:color w:val="E5484D"/>
                <w:sz w:val="22"/>
              </w:rPr>
              <w:t>-22.9%</w:t>
            </w:r>
          </w:p>
        </w:tc>
        <w:tc>
          <w:tcPr>
            <w:tcW w:type="dxa" w:w="1234"/>
          </w:tcPr>
          <w:p>
            <w:r>
              <w:rPr>
                <w:rFonts w:ascii="Calibri" w:hAnsi="Calibri"/>
                <w:sz w:val="22"/>
              </w:rPr>
              <w:t>N/A</w:t>
            </w:r>
          </w:p>
        </w:tc>
        <w:tc>
          <w:tcPr>
            <w:tcW w:type="dxa" w:w="1234"/>
          </w:tcPr>
          <w:p>
            <w:r>
              <w:rPr>
                <w:rFonts w:ascii="Calibri" w:hAnsi="Calibri"/>
                <w:sz w:val="22"/>
              </w:rPr>
              <w:t>—</w:t>
            </w:r>
          </w:p>
        </w:tc>
      </w:tr>
      <w:tr>
        <w:tc>
          <w:tcPr>
            <w:tcW w:type="dxa" w:w="1234"/>
          </w:tcPr>
          <w:p>
            <w:r>
              <w:rPr>
                <w:rFonts w:ascii="Calibri" w:hAnsi="Calibri"/>
                <w:sz w:val="22"/>
              </w:rPr>
              <w:t>Adj. EPS</w:t>
            </w:r>
          </w:p>
        </w:tc>
        <w:tc>
          <w:tcPr>
            <w:tcW w:type="dxa" w:w="1234"/>
          </w:tcPr>
          <w:p>
            <w:r>
              <w:rPr>
                <w:rFonts w:ascii="Calibri" w:hAnsi="Calibri"/>
                <w:sz w:val="22"/>
              </w:rPr>
              <w:t>FY2026</w:t>
            </w:r>
          </w:p>
        </w:tc>
        <w:tc>
          <w:tcPr>
            <w:tcW w:type="dxa" w:w="1234"/>
          </w:tcPr>
          <w:p>
            <w:r>
              <w:rPr>
                <w:rFonts w:ascii="Calibri" w:hAnsi="Calibri"/>
                <w:sz w:val="22"/>
              </w:rPr>
              <w:t>$4.80</w:t>
            </w:r>
          </w:p>
        </w:tc>
        <w:tc>
          <w:tcPr>
            <w:tcW w:type="dxa" w:w="1234"/>
          </w:tcPr>
          <w:p>
            <w:r>
              <w:rPr>
                <w:rFonts w:ascii="Calibri" w:hAnsi="Calibri"/>
                <w:sz w:val="22"/>
              </w:rPr>
              <w:t>$4.36</w:t>
            </w:r>
          </w:p>
        </w:tc>
        <w:tc>
          <w:tcPr>
            <w:tcW w:type="dxa" w:w="1234"/>
          </w:tcPr>
          <w:p>
            <w:r>
              <w:rPr>
                <w:rFonts w:ascii="Calibri" w:hAnsi="Calibri"/>
                <w:b/>
                <w:color w:val="E5484D"/>
                <w:sz w:val="22"/>
              </w:rPr>
              <w:t>-9.2%</w:t>
            </w:r>
          </w:p>
        </w:tc>
        <w:tc>
          <w:tcPr>
            <w:tcW w:type="dxa" w:w="1234"/>
          </w:tcPr>
          <w:p>
            <w:r>
              <w:rPr>
                <w:rFonts w:ascii="Calibri" w:hAnsi="Calibri"/>
                <w:sz w:val="22"/>
              </w:rPr>
              <w:t>N/A</w:t>
            </w:r>
          </w:p>
        </w:tc>
        <w:tc>
          <w:tcPr>
            <w:tcW w:type="dxa" w:w="1234"/>
          </w:tcPr>
          <w:p>
            <w:r>
              <w:rPr>
                <w:rFonts w:ascii="Calibri" w:hAnsi="Calibri"/>
                <w:sz w:val="22"/>
              </w:rPr>
              <w:t>—</w:t>
            </w:r>
          </w:p>
        </w:tc>
      </w:tr>
      <w:tr>
        <w:tc>
          <w:tcPr>
            <w:tcW w:type="dxa" w:w="1234"/>
          </w:tcPr>
          <w:p>
            <w:r>
              <w:rPr>
                <w:rFonts w:ascii="Calibri" w:hAnsi="Calibri"/>
                <w:sz w:val="22"/>
              </w:rPr>
              <w:t>EBITDA (Operating)</w:t>
            </w:r>
          </w:p>
        </w:tc>
        <w:tc>
          <w:tcPr>
            <w:tcW w:type="dxa" w:w="1234"/>
          </w:tcPr>
          <w:p>
            <w:r>
              <w:rPr>
                <w:rFonts w:ascii="Calibri" w:hAnsi="Calibri"/>
                <w:sz w:val="22"/>
              </w:rPr>
              <w:t>Q2 2026</w:t>
            </w:r>
          </w:p>
        </w:tc>
        <w:tc>
          <w:tcPr>
            <w:tcW w:type="dxa" w:w="1234"/>
          </w:tcPr>
          <w:p>
            <w:r>
              <w:rPr>
                <w:rFonts w:ascii="Calibri" w:hAnsi="Calibri"/>
                <w:sz w:val="22"/>
              </w:rPr>
              <w:t>$1,270M</w:t>
            </w:r>
          </w:p>
        </w:tc>
        <w:tc>
          <w:tcPr>
            <w:tcW w:type="dxa" w:w="1234"/>
          </w:tcPr>
          <w:p>
            <w:r>
              <w:rPr>
                <w:rFonts w:ascii="Calibri" w:hAnsi="Calibri"/>
                <w:sz w:val="22"/>
              </w:rPr>
              <w:t>$1,122M</w:t>
            </w:r>
          </w:p>
        </w:tc>
        <w:tc>
          <w:tcPr>
            <w:tcW w:type="dxa" w:w="1234"/>
          </w:tcPr>
          <w:p>
            <w:r>
              <w:rPr>
                <w:rFonts w:ascii="Calibri" w:hAnsi="Calibri"/>
                <w:b/>
                <w:color w:val="E5484D"/>
                <w:sz w:val="22"/>
              </w:rPr>
              <w:t>-11.6%</w:t>
            </w:r>
          </w:p>
        </w:tc>
        <w:tc>
          <w:tcPr>
            <w:tcW w:type="dxa" w:w="1234"/>
          </w:tcPr>
          <w:p>
            <w:r>
              <w:rPr>
                <w:rFonts w:ascii="Calibri" w:hAnsi="Calibri"/>
                <w:sz w:val="22"/>
              </w:rPr>
              <w:t>N/A</w:t>
            </w:r>
          </w:p>
        </w:tc>
        <w:tc>
          <w:tcPr>
            <w:tcW w:type="dxa" w:w="1234"/>
          </w:tcPr>
          <w:p>
            <w:r>
              <w:rPr>
                <w:rFonts w:ascii="Calibri" w:hAnsi="Calibri"/>
                <w:sz w:val="22"/>
              </w:rPr>
              <w:t>—</w:t>
            </w:r>
          </w:p>
        </w:tc>
      </w:tr>
      <w:tr>
        <w:tc>
          <w:tcPr>
            <w:tcW w:type="dxa" w:w="1234"/>
          </w:tcPr>
          <w:p>
            <w:r>
              <w:rPr>
                <w:rFonts w:ascii="Calibri" w:hAnsi="Calibri"/>
                <w:sz w:val="22"/>
              </w:rPr>
              <w:t>EBITDA (Operating)</w:t>
            </w:r>
          </w:p>
        </w:tc>
        <w:tc>
          <w:tcPr>
            <w:tcW w:type="dxa" w:w="1234"/>
          </w:tcPr>
          <w:p>
            <w:r>
              <w:rPr>
                <w:rFonts w:ascii="Calibri" w:hAnsi="Calibri"/>
                <w:sz w:val="22"/>
              </w:rPr>
              <w:t>FY2026</w:t>
            </w:r>
          </w:p>
        </w:tc>
        <w:tc>
          <w:tcPr>
            <w:tcW w:type="dxa" w:w="1234"/>
          </w:tcPr>
          <w:p>
            <w:r>
              <w:rPr>
                <w:rFonts w:ascii="Calibri" w:hAnsi="Calibri"/>
                <w:sz w:val="22"/>
              </w:rPr>
              <w:t>$6,999M</w:t>
            </w:r>
          </w:p>
        </w:tc>
        <w:tc>
          <w:tcPr>
            <w:tcW w:type="dxa" w:w="1234"/>
          </w:tcPr>
          <w:p>
            <w:r>
              <w:rPr>
                <w:rFonts w:ascii="Calibri" w:hAnsi="Calibri"/>
                <w:sz w:val="22"/>
              </w:rPr>
              <w:t>$6,633M</w:t>
            </w:r>
          </w:p>
        </w:tc>
        <w:tc>
          <w:tcPr>
            <w:tcW w:type="dxa" w:w="1234"/>
          </w:tcPr>
          <w:p>
            <w:r>
              <w:rPr>
                <w:rFonts w:ascii="Calibri" w:hAnsi="Calibri"/>
                <w:b/>
                <w:color w:val="E5484D"/>
                <w:sz w:val="22"/>
              </w:rPr>
              <w:t>-5.2%</w:t>
            </w:r>
          </w:p>
        </w:tc>
        <w:tc>
          <w:tcPr>
            <w:tcW w:type="dxa" w:w="1234"/>
          </w:tcPr>
          <w:p>
            <w:r>
              <w:rPr>
                <w:rFonts w:ascii="Calibri" w:hAnsi="Calibri"/>
                <w:sz w:val="22"/>
              </w:rPr>
              <w:t>N/A</w:t>
            </w:r>
          </w:p>
        </w:tc>
        <w:tc>
          <w:tcPr>
            <w:tcW w:type="dxa" w:w="1234"/>
          </w:tcPr>
          <w:p>
            <w:r>
              <w:rPr>
                <w:rFonts w:ascii="Calibri" w:hAnsi="Calibri"/>
                <w:sz w:val="22"/>
              </w:rPr>
              <w:t>—</w:t>
            </w:r>
          </w:p>
        </w:tc>
      </w:tr>
      <w:tr>
        <w:tc>
          <w:tcPr>
            <w:tcW w:type="dxa" w:w="1234"/>
          </w:tcPr>
          <w:p>
            <w:r>
              <w:rPr>
                <w:rFonts w:ascii="Calibri" w:hAnsi="Calibri"/>
                <w:sz w:val="22"/>
              </w:rPr>
              <w:t>Free Cash Flow</w:t>
            </w:r>
          </w:p>
        </w:tc>
        <w:tc>
          <w:tcPr>
            <w:tcW w:type="dxa" w:w="1234"/>
          </w:tcPr>
          <w:p>
            <w:r>
              <w:rPr>
                <w:rFonts w:ascii="Calibri" w:hAnsi="Calibri"/>
                <w:sz w:val="22"/>
              </w:rPr>
              <w:t>Q2 2026</w:t>
            </w:r>
          </w:p>
        </w:tc>
        <w:tc>
          <w:tcPr>
            <w:tcW w:type="dxa" w:w="1234"/>
          </w:tcPr>
          <w:p>
            <w:r>
              <w:rPr>
                <w:rFonts w:ascii="Calibri" w:hAnsi="Calibri"/>
                <w:sz w:val="22"/>
              </w:rPr>
              <w:t>$376M</w:t>
            </w:r>
          </w:p>
        </w:tc>
        <w:tc>
          <w:tcPr>
            <w:tcW w:type="dxa" w:w="1234"/>
          </w:tcPr>
          <w:p>
            <w:r>
              <w:rPr>
                <w:rFonts w:ascii="Calibri" w:hAnsi="Calibri"/>
                <w:sz w:val="22"/>
              </w:rPr>
              <w:t>$279M</w:t>
            </w:r>
          </w:p>
        </w:tc>
        <w:tc>
          <w:tcPr>
            <w:tcW w:type="dxa" w:w="1234"/>
          </w:tcPr>
          <w:p>
            <w:r>
              <w:rPr>
                <w:rFonts w:ascii="Calibri" w:hAnsi="Calibri"/>
                <w:b/>
                <w:color w:val="E5484D"/>
                <w:sz w:val="22"/>
              </w:rPr>
              <w:t>-25.8%</w:t>
            </w:r>
          </w:p>
        </w:tc>
        <w:tc>
          <w:tcPr>
            <w:tcW w:type="dxa" w:w="1234"/>
          </w:tcPr>
          <w:p>
            <w:r>
              <w:rPr>
                <w:rFonts w:ascii="Calibri" w:hAnsi="Calibri"/>
                <w:sz w:val="22"/>
              </w:rPr>
              <w:t>N/A</w:t>
            </w:r>
          </w:p>
        </w:tc>
        <w:tc>
          <w:tcPr>
            <w:tcW w:type="dxa" w:w="1234"/>
          </w:tcPr>
          <w:p>
            <w:r>
              <w:rPr>
                <w:rFonts w:ascii="Calibri" w:hAnsi="Calibri"/>
                <w:sz w:val="22"/>
              </w:rPr>
              <w:t>—</w:t>
            </w:r>
          </w:p>
        </w:tc>
      </w:tr>
      <w:tr>
        <w:tc>
          <w:tcPr>
            <w:tcW w:type="dxa" w:w="1234"/>
          </w:tcPr>
          <w:p>
            <w:r>
              <w:rPr>
                <w:rFonts w:ascii="Calibri" w:hAnsi="Calibri"/>
                <w:sz w:val="22"/>
              </w:rPr>
              <w:t>Free Cash Flow</w:t>
            </w:r>
          </w:p>
        </w:tc>
        <w:tc>
          <w:tcPr>
            <w:tcW w:type="dxa" w:w="1234"/>
          </w:tcPr>
          <w:p>
            <w:r>
              <w:rPr>
                <w:rFonts w:ascii="Calibri" w:hAnsi="Calibri"/>
                <w:sz w:val="22"/>
              </w:rPr>
              <w:t>FY2026</w:t>
            </w:r>
          </w:p>
        </w:tc>
        <w:tc>
          <w:tcPr>
            <w:tcW w:type="dxa" w:w="1234"/>
          </w:tcPr>
          <w:p>
            <w:r>
              <w:rPr>
                <w:rFonts w:ascii="Calibri" w:hAnsi="Calibri"/>
                <w:sz w:val="22"/>
              </w:rPr>
              <w:t>$3,931M</w:t>
            </w:r>
          </w:p>
        </w:tc>
        <w:tc>
          <w:tcPr>
            <w:tcW w:type="dxa" w:w="1234"/>
          </w:tcPr>
          <w:p>
            <w:r>
              <w:rPr>
                <w:rFonts w:ascii="Calibri" w:hAnsi="Calibri"/>
                <w:sz w:val="22"/>
              </w:rPr>
              <w:t>$3,621M</w:t>
            </w:r>
          </w:p>
        </w:tc>
        <w:tc>
          <w:tcPr>
            <w:tcW w:type="dxa" w:w="1234"/>
          </w:tcPr>
          <w:p>
            <w:r>
              <w:rPr>
                <w:rFonts w:ascii="Calibri" w:hAnsi="Calibri"/>
                <w:b/>
                <w:color w:val="E5484D"/>
                <w:sz w:val="22"/>
              </w:rPr>
              <w:t>-7.9%</w:t>
            </w:r>
          </w:p>
        </w:tc>
        <w:tc>
          <w:tcPr>
            <w:tcW w:type="dxa" w:w="1234"/>
          </w:tcPr>
          <w:p>
            <w:r>
              <w:rPr>
                <w:rFonts w:ascii="Calibri" w:hAnsi="Calibri"/>
                <w:sz w:val="22"/>
              </w:rPr>
              <w:t>N/A</w:t>
            </w:r>
          </w:p>
        </w:tc>
        <w:tc>
          <w:tcPr>
            <w:tcW w:type="dxa" w:w="1234"/>
          </w:tcPr>
          <w:p>
            <w:r>
              <w:rPr>
                <w:rFonts w:ascii="Calibri" w:hAnsi="Calibri"/>
                <w:sz w:val="22"/>
              </w:rPr>
              <w:t>—</w:t>
            </w:r>
          </w:p>
        </w:tc>
      </w:tr>
      <w:tr>
        <w:tc>
          <w:tcPr>
            <w:tcW w:type="dxa" w:w="1234"/>
          </w:tcPr>
          <w:p>
            <w:r>
              <w:rPr>
                <w:rFonts w:ascii="Calibri" w:hAnsi="Calibri"/>
                <w:sz w:val="22"/>
              </w:rPr>
              <w:t>Gas Production</w:t>
            </w:r>
          </w:p>
        </w:tc>
        <w:tc>
          <w:tcPr>
            <w:tcW w:type="dxa" w:w="1234"/>
          </w:tcPr>
          <w:p>
            <w:r>
              <w:rPr>
                <w:rFonts w:ascii="Calibri" w:hAnsi="Calibri"/>
                <w:sz w:val="22"/>
              </w:rPr>
              <w:t>Q2 2026</w:t>
            </w:r>
          </w:p>
        </w:tc>
        <w:tc>
          <w:tcPr>
            <w:tcW w:type="dxa" w:w="1234"/>
          </w:tcPr>
          <w:p>
            <w:r>
              <w:rPr>
                <w:rFonts w:ascii="Calibri" w:hAnsi="Calibri"/>
                <w:sz w:val="22"/>
              </w:rPr>
              <w:t>600.8 Bcfe</w:t>
            </w:r>
          </w:p>
        </w:tc>
        <w:tc>
          <w:tcPr>
            <w:tcW w:type="dxa" w:w="1234"/>
          </w:tcPr>
          <w:p>
            <w:r>
              <w:rPr>
                <w:rFonts w:ascii="Calibri" w:hAnsi="Calibri"/>
                <w:sz w:val="22"/>
              </w:rPr>
              <w:t>606.4 Bcfe</w:t>
            </w:r>
          </w:p>
        </w:tc>
        <w:tc>
          <w:tcPr>
            <w:tcW w:type="dxa" w:w="1234"/>
          </w:tcPr>
          <w:p>
            <w:r>
              <w:rPr>
                <w:rFonts w:ascii="Calibri" w:hAnsi="Calibri"/>
                <w:b/>
                <w:color w:val="30A46C"/>
                <w:sz w:val="22"/>
              </w:rPr>
              <w:t>+0.9%</w:t>
            </w:r>
          </w:p>
        </w:tc>
        <w:tc>
          <w:tcPr>
            <w:tcW w:type="dxa" w:w="1234"/>
          </w:tcPr>
          <w:p>
            <w:r>
              <w:rPr>
                <w:rFonts w:ascii="Calibri" w:hAnsi="Calibri"/>
                <w:sz w:val="22"/>
              </w:rPr>
              <w:t>~590–620 Bcfe</w:t>
            </w:r>
          </w:p>
        </w:tc>
        <w:tc>
          <w:tcPr>
            <w:tcW w:type="dxa" w:w="1234"/>
          </w:tcPr>
          <w:p>
            <w:r>
              <w:rPr>
                <w:rFonts w:ascii="Calibri" w:hAnsi="Calibri"/>
                <w:sz w:val="22"/>
              </w:rPr>
              <w:t>~Midpoint</w:t>
            </w:r>
          </w:p>
        </w:tc>
      </w:tr>
      <w:tr>
        <w:tc>
          <w:tcPr>
            <w:tcW w:type="dxa" w:w="1234"/>
          </w:tcPr>
          <w:p>
            <w:r>
              <w:rPr>
                <w:rFonts w:ascii="Calibri" w:hAnsi="Calibri"/>
                <w:sz w:val="22"/>
              </w:rPr>
              <w:t>Total Revenue</w:t>
            </w:r>
          </w:p>
        </w:tc>
        <w:tc>
          <w:tcPr>
            <w:tcW w:type="dxa" w:w="1234"/>
          </w:tcPr>
          <w:p>
            <w:r>
              <w:rPr>
                <w:rFonts w:ascii="Calibri" w:hAnsi="Calibri"/>
                <w:sz w:val="22"/>
              </w:rPr>
              <w:t>Q2 2026</w:t>
            </w:r>
          </w:p>
        </w:tc>
        <w:tc>
          <w:tcPr>
            <w:tcW w:type="dxa" w:w="1234"/>
          </w:tcPr>
          <w:p>
            <w:r>
              <w:rPr>
                <w:rFonts w:ascii="Calibri" w:hAnsi="Calibri"/>
                <w:sz w:val="22"/>
              </w:rPr>
              <w:t>$1,850M</w:t>
            </w:r>
          </w:p>
        </w:tc>
        <w:tc>
          <w:tcPr>
            <w:tcW w:type="dxa" w:w="1234"/>
          </w:tcPr>
          <w:p>
            <w:r>
              <w:rPr>
                <w:rFonts w:ascii="Calibri" w:hAnsi="Calibri"/>
                <w:sz w:val="22"/>
              </w:rPr>
              <w:t>$1,789M</w:t>
            </w:r>
          </w:p>
        </w:tc>
        <w:tc>
          <w:tcPr>
            <w:tcW w:type="dxa" w:w="1234"/>
          </w:tcPr>
          <w:p>
            <w:r>
              <w:rPr>
                <w:rFonts w:ascii="Calibri" w:hAnsi="Calibri"/>
                <w:b/>
                <w:color w:val="E5484D"/>
                <w:sz w:val="22"/>
              </w:rPr>
              <w:t>-3.3%</w:t>
            </w:r>
          </w:p>
        </w:tc>
        <w:tc>
          <w:tcPr>
            <w:tcW w:type="dxa" w:w="1234"/>
          </w:tcPr>
          <w:p>
            <w:r>
              <w:rPr>
                <w:rFonts w:ascii="Calibri" w:hAnsi="Calibri"/>
                <w:sz w:val="22"/>
              </w:rPr>
              <w:t>N/A</w:t>
            </w:r>
          </w:p>
        </w:tc>
        <w:tc>
          <w:tcPr>
            <w:tcW w:type="dxa" w:w="1234"/>
          </w:tcPr>
          <w:p>
            <w:r>
              <w:rPr>
                <w:rFonts w:ascii="Calibri" w:hAnsi="Calibri"/>
                <w:sz w:val="22"/>
              </w:rPr>
              <w:t>—</w:t>
            </w:r>
          </w:p>
        </w:tc>
      </w:tr>
      <w:tr>
        <w:tc>
          <w:tcPr>
            <w:tcW w:type="dxa" w:w="1234"/>
          </w:tcPr>
          <w:p>
            <w:r>
              <w:rPr>
                <w:rFonts w:ascii="Calibri" w:hAnsi="Calibri"/>
                <w:sz w:val="22"/>
              </w:rPr>
              <w:t>Total Revenue</w:t>
            </w:r>
          </w:p>
        </w:tc>
        <w:tc>
          <w:tcPr>
            <w:tcW w:type="dxa" w:w="1234"/>
          </w:tcPr>
          <w:p>
            <w:r>
              <w:rPr>
                <w:rFonts w:ascii="Calibri" w:hAnsi="Calibri"/>
                <w:sz w:val="22"/>
              </w:rPr>
              <w:t>FY2026</w:t>
            </w:r>
          </w:p>
        </w:tc>
        <w:tc>
          <w:tcPr>
            <w:tcW w:type="dxa" w:w="1234"/>
          </w:tcPr>
          <w:p>
            <w:r>
              <w:rPr>
                <w:rFonts w:ascii="Calibri" w:hAnsi="Calibri"/>
                <w:sz w:val="22"/>
              </w:rPr>
              <w:t>$9,542M</w:t>
            </w:r>
          </w:p>
        </w:tc>
        <w:tc>
          <w:tcPr>
            <w:tcW w:type="dxa" w:w="1234"/>
          </w:tcPr>
          <w:p>
            <w:r>
              <w:rPr>
                <w:rFonts w:ascii="Calibri" w:hAnsi="Calibri"/>
                <w:sz w:val="22"/>
              </w:rPr>
              <w:t>$9,193M</w:t>
            </w:r>
          </w:p>
        </w:tc>
        <w:tc>
          <w:tcPr>
            <w:tcW w:type="dxa" w:w="1234"/>
          </w:tcPr>
          <w:p>
            <w:r>
              <w:rPr>
                <w:rFonts w:ascii="Calibri" w:hAnsi="Calibri"/>
                <w:b/>
                <w:color w:val="E5484D"/>
                <w:sz w:val="22"/>
              </w:rPr>
              <w:t>-3.7%</w:t>
            </w:r>
          </w:p>
        </w:tc>
        <w:tc>
          <w:tcPr>
            <w:tcW w:type="dxa" w:w="1234"/>
          </w:tcPr>
          <w:p>
            <w:r>
              <w:rPr>
                <w:rFonts w:ascii="Calibri" w:hAnsi="Calibri"/>
                <w:sz w:val="22"/>
              </w:rPr>
              <w:t>N/A</w:t>
            </w:r>
          </w:p>
        </w:tc>
        <w:tc>
          <w:tcPr>
            <w:tcW w:type="dxa" w:w="1234"/>
          </w:tcPr>
          <w:p>
            <w:r>
              <w:rPr>
                <w:rFonts w:ascii="Calibri" w:hAnsi="Calibri"/>
                <w:sz w:val="22"/>
              </w:rPr>
              <w:t>—</w:t>
            </w:r>
          </w:p>
        </w:tc>
      </w:tr>
    </w:tbl>
    <w:p>
      <w:r>
        <w:rPr>
          <w:rFonts w:ascii="Calibri" w:hAnsi="Calibri"/>
          <w:b/>
          <w:color w:val="525866"/>
          <w:sz w:val="22"/>
        </w:rPr>
        <w:t xml:space="preserve">Commentary: </w:t>
      </w:r>
      <w:r>
        <w:rPr>
          <w:rFonts w:ascii="Calibri" w:hAnsi="Calibri"/>
          <w:color w:val="525866"/>
          <w:sz w:val="22"/>
        </w:rPr>
        <w:t xml:space="preserve">The divergence between earnings/FCF revisions (-23% to -26% for Q2) and production revisions (+0.9% for Q2) confirms that the downward pressure is entirely </w:t>
      </w:r>
      <w:r>
        <w:rPr>
          <w:rFonts w:ascii="Calibri" w:hAnsi="Calibri"/>
          <w:b/>
          <w:color w:val="525866"/>
          <w:sz w:val="22"/>
        </w:rPr>
        <w:t>price-driven (lower Henry Hub)</w:t>
      </w:r>
      <w:r>
        <w:rPr>
          <w:rFonts w:ascii="Calibri" w:hAnsi="Calibri"/>
          <w:color w:val="525866"/>
          <w:sz w:val="22"/>
        </w:rPr>
        <w:t>, not operational. Production estimates have actually been nudged slightly higher, consistent with UBS’s expectation that EQT will come in toward the high end of guidance. This creates a setup where a production beat is likely but may not be enough to offset the earnings miss vs. the post-Q1 baseline. The key question for the call is whether management updates full-year guidance at midyear and how they frame the H2 FCF acceleration story.</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EQT has </w:t>
      </w:r>
      <w:r>
        <w:rPr>
          <w:rFonts w:ascii="Calibri" w:hAnsi="Calibri"/>
          <w:b/>
          <w:color w:val="525866"/>
          <w:sz w:val="22"/>
        </w:rPr>
        <w:t>significantly underperformed the E&amp;P sector</w:t>
      </w:r>
      <w:r>
        <w:rPr>
          <w:rFonts w:ascii="Calibri" w:hAnsi="Calibri"/>
          <w:color w:val="525866"/>
          <w:sz w:val="22"/>
        </w:rPr>
        <w:t xml:space="preserve"> since Q1 earnings, declining ~13.9% vs. XOP +3.1% — a ~17 percentage point gap driven entirely by multiple compression on lower Henry Hub, not operational deterioration. The stock is near 52-week lows despite record Q1 FCF, suggesting the market is pricing in a prolonged low-gas-price environment.</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EQT vs. XOP (SPDR S&amp;P Oil &amp; Gas E&amp;P ETF) — Indexed Performance Since Q1 2026 Earnings (Apr 21, 2026). EQT: -13.9% | XOP: +3.1%</w:t>
      </w:r>
    </w:p>
    <w:p>
      <w:r>
        <w:rPr>
          <w:rFonts w:ascii="Calibri" w:hAnsi="Calibri"/>
          <w:color w:val="525866"/>
          <w:sz w:val="22"/>
        </w:rPr>
        <w:t xml:space="preserve">EQT’s underperformance vs. XOP is notable given the company’s record Q1 FCF and balance sheet improvement. The divergence reflects the market’s sensitivity to Henry Hub pricing — EQT’s unhedged posture, which was a massive tailwind in Q1, has become a headwind as prices moderated into the shoulder season. The stock’s failure to recover despite the XOP sector rally in late June/early July suggests company-specific concerns around the gas price outlook rather than sector-wide sentiment. With consensus price target of $68 implying ~39% upside from current levels (~$49), the setup is </w:t>
      </w:r>
      <w:r>
        <w:rPr>
          <w:rFonts w:ascii="Calibri" w:hAnsi="Calibri"/>
          <w:b/>
          <w:color w:val="525866"/>
          <w:sz w:val="22"/>
        </w:rPr>
        <w:t>asymmetric to the upside</w:t>
      </w:r>
      <w:r>
        <w:rPr>
          <w:rFonts w:ascii="Calibri" w:hAnsi="Calibri"/>
          <w:color w:val="525866"/>
          <w:sz w:val="22"/>
        </w:rPr>
        <w:t xml:space="preserve"> if gas prices recover or if management delivers a strong demand narrative on the Q2 call. Henry Hub spot prices for Q2 2026 averaged $2.77/MMBtu (April), $2.94/MMBtu (May), and $3.14/MMBtu (June) — all below the Q2 2025 comparable period ($3.42, $3.12, $3.02 respectively), which is the primary driver of the YoY earnings decline.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continued deterioration in Henry Hub pricing</w:t>
      </w:r>
      <w:r>
        <w:rPr>
          <w:rFonts w:ascii="Calibri" w:hAnsi="Calibri"/>
          <w:color w:val="525866"/>
          <w:sz w:val="22"/>
        </w:rPr>
        <w:t xml:space="preserve"> into the shoulder season, which has driven ~23% downward EPS revisions; however, the </w:t>
      </w:r>
      <w:r>
        <w:rPr>
          <w:rFonts w:ascii="Calibri" w:hAnsi="Calibri"/>
          <w:b/>
          <w:color w:val="525866"/>
          <w:sz w:val="22"/>
        </w:rPr>
        <w:t>structural demand narrative (data centers, LNG, power) continues to strengthen</w:t>
      </w:r>
      <w:r>
        <w:rPr>
          <w:rFonts w:ascii="Calibri" w:hAnsi="Calibri"/>
          <w:color w:val="525866"/>
          <w:sz w:val="22"/>
        </w:rPr>
        <w:t xml:space="preserve"> and could be the catalyst for re-rating on the Q2 call.</w:t>
      </w:r>
    </w:p>
    <w:p>
      <w:pPr>
        <w:pStyle w:val="ListBullet"/>
        <w:ind w:left="360" w:hanging="360"/>
      </w:pPr>
      <w:r>
        <w:rPr>
          <w:rFonts w:ascii="Calibri" w:hAnsi="Calibri"/>
          <w:b/>
          <w:color w:val="525866"/>
          <w:sz w:val="22"/>
        </w:rPr>
        <w:t>July 8, 2026 — UBS lowers PT to $73 (from $74), maintains Buy:</w:t>
      </w:r>
      <w:r>
        <w:rPr>
          <w:rFonts w:ascii="Calibri" w:hAnsi="Calibri"/>
          <w:color w:val="525866"/>
          <w:sz w:val="22"/>
        </w:rPr>
        <w:t xml:space="preserve"> Expects Q2 production toward high end of guidance (~606 Bcfe); strong operations to offset weaker Henry Hub and slightly wider differentials. Lowered 2026 Henry Hub outlook is the driver of the PT cut. Street broadly constructive but trimming numbers on gas price.</w:t>
      </w:r>
    </w:p>
    <w:p>
      <w:pPr>
        <w:pStyle w:val="ListBullet"/>
        <w:ind w:left="360" w:hanging="360"/>
      </w:pPr>
      <w:r>
        <w:rPr>
          <w:rFonts w:ascii="Calibri" w:hAnsi="Calibri"/>
          <w:b/>
          <w:color w:val="525866"/>
          <w:sz w:val="22"/>
        </w:rPr>
        <w:t>July 2, 2026 — Jefferies lowers PT to $75 (from $77), maintains Buy:</w:t>
      </w:r>
      <w:r>
        <w:rPr>
          <w:rFonts w:ascii="Calibri" w:hAnsi="Calibri"/>
          <w:color w:val="525866"/>
          <w:sz w:val="22"/>
        </w:rPr>
        <w:t xml:space="preserve"> Expects Q2 EBITDA of $1.13B, slightly below consensus of $1.19B. Sell-side broadly aligned on a modest miss vs. prior consensus but still bullish on the long-term thesis.</w:t>
      </w:r>
    </w:p>
    <w:p>
      <w:pPr>
        <w:pStyle w:val="ListBullet"/>
        <w:ind w:left="360" w:hanging="360"/>
      </w:pPr>
      <w:r>
        <w:rPr>
          <w:rFonts w:ascii="Calibri" w:hAnsi="Calibri"/>
          <w:b/>
          <w:color w:val="525866"/>
          <w:sz w:val="22"/>
        </w:rPr>
        <w:t>June 30, 2026 — Freedom Broker initiates with Buy, $79 PT:</w:t>
      </w:r>
      <w:r>
        <w:rPr>
          <w:rFonts w:ascii="Calibri" w:hAnsi="Calibri"/>
          <w:color w:val="525866"/>
          <w:sz w:val="22"/>
        </w:rPr>
        <w:t xml:space="preserve"> Highlights EQT’s position as largest U.S. natural gas producer and improving market fundamentals. New coverage adds to the bullish camp.</w:t>
      </w:r>
    </w:p>
    <w:p>
      <w:pPr>
        <w:pStyle w:val="ListBullet"/>
        <w:ind w:left="360" w:hanging="360"/>
      </w:pPr>
      <w:r>
        <w:rPr>
          <w:rFonts w:ascii="Calibri" w:hAnsi="Calibri"/>
          <w:b/>
          <w:color w:val="525866"/>
          <w:sz w:val="22"/>
        </w:rPr>
        <w:t>June 23, 2026 — DVN at JP Morgan Natural Resources Conference:</w:t>
      </w:r>
      <w:r>
        <w:rPr>
          <w:rFonts w:ascii="Calibri" w:hAnsi="Calibri"/>
          <w:color w:val="525866"/>
          <w:sz w:val="22"/>
        </w:rPr>
        <w:t xml:space="preserve"> Devon discussed power demand bull case and Permian gas dynamics. Sector-wide confirmation of accelerating power demand narrative.</w:t>
      </w:r>
    </w:p>
    <w:p>
      <w:pPr>
        <w:pStyle w:val="ListBullet"/>
        <w:ind w:left="360" w:hanging="360"/>
      </w:pPr>
      <w:r>
        <w:rPr>
          <w:rFonts w:ascii="Calibri" w:hAnsi="Calibri"/>
          <w:b/>
          <w:color w:val="525866"/>
          <w:sz w:val="22"/>
        </w:rPr>
        <w:t>June 8, 2026 — CEO Toby Rice sells 1,731 shares under 10b5-1 plan:</w:t>
      </w:r>
      <w:r>
        <w:rPr>
          <w:rFonts w:ascii="Calibri" w:hAnsi="Calibri"/>
          <w:color w:val="525866"/>
          <w:sz w:val="22"/>
        </w:rPr>
        <w:t xml:space="preserve"> Pre-planned sale; disclosed via Form 4 filed June 9, 2026. Routine 10b5-1 plan execution; not a discretionary signal. CEO retains 2,333,193 shares.</w:t>
      </w:r>
    </w:p>
    <w:p>
      <w:pPr>
        <w:pStyle w:val="ListBullet"/>
        <w:ind w:left="360" w:hanging="360"/>
      </w:pPr>
      <w:r>
        <w:rPr>
          <w:rFonts w:ascii="Calibri" w:hAnsi="Calibri"/>
          <w:b/>
          <w:color w:val="525866"/>
          <w:sz w:val="22"/>
        </w:rPr>
        <w:t>April 29, 2026 — Director Vicky Bailey sells 4,116 shares (full exit):</w:t>
      </w:r>
      <w:r>
        <w:rPr>
          <w:rFonts w:ascii="Calibri" w:hAnsi="Calibri"/>
          <w:color w:val="525866"/>
          <w:sz w:val="22"/>
        </w:rPr>
        <w:t xml:space="preserve"> Disclosed via Form 4 filed April 29, 2026. Volume_owned_eod = 0, representing a complete exit of position. Likely personal financial planning rather than a fundamental signal.</w:t>
      </w:r>
    </w:p>
    <w:p>
      <w:pPr>
        <w:pStyle w:val="ListBullet"/>
        <w:ind w:left="360" w:hanging="360"/>
      </w:pPr>
      <w:r>
        <w:rPr>
          <w:rFonts w:ascii="Calibri" w:hAnsi="Calibri"/>
          <w:b/>
          <w:color w:val="525866"/>
          <w:sz w:val="22"/>
        </w:rPr>
        <w:t>Moody’s upgrades EQT outlook to Positive:</w:t>
      </w:r>
      <w:r>
        <w:rPr>
          <w:rFonts w:ascii="Calibri" w:hAnsi="Calibri"/>
          <w:color w:val="525866"/>
          <w:sz w:val="22"/>
        </w:rPr>
        <w:t xml:space="preserve"> Citing ~$8B debt reduction post-Equitrans acquisition. Credit trajectory continues to improve; supports the path to investment-grade across all agencies.</w:t>
      </w:r>
    </w:p>
    <w:p>
      <w:pPr>
        <w:pStyle w:val="ListBullet"/>
        <w:ind w:left="360" w:hanging="360"/>
      </w:pPr>
      <w:r>
        <w:rPr>
          <w:rFonts w:ascii="Calibri" w:hAnsi="Calibri"/>
          <w:b/>
          <w:color w:val="525866"/>
          <w:sz w:val="22"/>
        </w:rPr>
        <w:t>Ongoing — Data center/power demand pipeline:</w:t>
      </w:r>
      <w:r>
        <w:rPr>
          <w:rFonts w:ascii="Calibri" w:hAnsi="Calibri"/>
          <w:color w:val="525866"/>
          <w:sz w:val="22"/>
        </w:rPr>
        <w:t xml:space="preserve"> Management cited “multiple Bcf/day” of supply negotiations with power generators and data center developers in Appalachia. NextEra announced 10 GW in Pennsylvania; 9+ GW facility announced in Ohio (Portsmouth). West Virginia’s 50x50 plan (15 GW to 50 GW by 2050). Any signed supply agreement would be a significant positive catalyst.</w:t>
      </w:r>
    </w:p>
    <w:p>
      <w:pPr>
        <w:pStyle w:val="ListBullet"/>
        <w:ind w:left="360" w:hanging="360"/>
      </w:pPr>
      <w:r>
        <w:rPr>
          <w:rFonts w:ascii="Calibri" w:hAnsi="Calibri"/>
          <w:b/>
          <w:color w:val="525866"/>
          <w:sz w:val="22"/>
        </w:rPr>
        <w:t>Ongoing — Permitting reform:</w:t>
      </w:r>
      <w:r>
        <w:rPr>
          <w:rFonts w:ascii="Calibri" w:hAnsi="Calibri"/>
          <w:color w:val="525866"/>
          <w:sz w:val="22"/>
        </w:rPr>
        <w:t xml:space="preserve"> Management flagged urgency for permitting reform “in the next few months” to enable infrastructure buildout. Regulatory risk to the demand growth thesis; failure to pass reform could delay contracted projects.</w:t>
      </w:r>
    </w:p>
    <w:p>
      <w:r>
        <w:br w:type="page"/>
      </w:r>
    </w:p>
    <w:p>
      <w:pPr>
        <w:pStyle w:val="Heading2"/>
      </w:pPr>
      <w:r>
        <w:rPr>
          <w:rFonts w:ascii="Calibri" w:hAnsi="Calibri"/>
          <w:b/>
          <w:color w:val="3B4259"/>
          <w:sz w:val="28"/>
        </w:rPr>
        <w:t>7. Peer Commentaries — Q2 2026 Read-Throughs</w:t>
      </w:r>
    </w:p>
    <w:p>
      <w:r>
        <w:rPr>
          <w:rFonts w:ascii="Calibri" w:hAnsi="Calibri"/>
          <w:b/>
          <w:color w:val="525866"/>
          <w:sz w:val="22"/>
        </w:rPr>
        <w:t xml:space="preserve">Key Takeaway: </w:t>
      </w:r>
      <w:r>
        <w:rPr>
          <w:rFonts w:ascii="Calibri" w:hAnsi="Calibri"/>
          <w:color w:val="525866"/>
          <w:sz w:val="22"/>
        </w:rPr>
        <w:t xml:space="preserve">Appalachian peers (AR, RRC, CHK/Expand Energy) all reported Q1 2026 earnings after EQT and provided Q2 2026 forward commentary — the consistent themes are: (1) </w:t>
      </w:r>
      <w:r>
        <w:rPr>
          <w:rFonts w:ascii="Calibri" w:hAnsi="Calibri"/>
          <w:b/>
          <w:color w:val="525866"/>
          <w:sz w:val="22"/>
        </w:rPr>
        <w:t>Q2 is peak CapEx for all Appalachian producers</w:t>
      </w:r>
      <w:r>
        <w:rPr>
          <w:rFonts w:ascii="Calibri" w:hAnsi="Calibri"/>
          <w:color w:val="525866"/>
          <w:sz w:val="22"/>
        </w:rPr>
        <w:t xml:space="preserve">, (2) </w:t>
      </w:r>
      <w:r>
        <w:rPr>
          <w:rFonts w:ascii="Calibri" w:hAnsi="Calibri"/>
          <w:b/>
          <w:color w:val="525866"/>
          <w:sz w:val="22"/>
        </w:rPr>
        <w:t>structural demand from LNG, data centers, and power is accelerating beyond prior expectations</w:t>
      </w:r>
      <w:r>
        <w:rPr>
          <w:rFonts w:ascii="Calibri" w:hAnsi="Calibri"/>
          <w:color w:val="525866"/>
          <w:sz w:val="22"/>
        </w:rPr>
        <w:t xml:space="preserve">, and (3) </w:t>
      </w:r>
      <w:r>
        <w:rPr>
          <w:rFonts w:ascii="Calibri" w:hAnsi="Calibri"/>
          <w:b/>
          <w:color w:val="525866"/>
          <w:sz w:val="22"/>
        </w:rPr>
        <w:t>basis differentials are expected to improve</w:t>
      </w:r>
      <w:r>
        <w:rPr>
          <w:rFonts w:ascii="Calibri" w:hAnsi="Calibri"/>
          <w:color w:val="525866"/>
          <w:sz w:val="22"/>
        </w:rPr>
        <w:t xml:space="preserve"> as in-basin demand grows. These are broadly positive read-throughs for EQT’s Q2 narrative and long-term thesis.</w:t>
      </w:r>
    </w:p>
    <w:p>
      <w:r>
        <w:rPr>
          <w:rFonts w:ascii="Calibri" w:hAnsi="Calibri"/>
          <w:i/>
          <w:color w:val="525866"/>
          <w:sz w:val="22"/>
        </w:rPr>
        <w:t xml:space="preserve">Note: </w:t>
      </w:r>
      <w:r>
        <w:rPr>
          <w:rFonts w:ascii="Calibri" w:hAnsi="Calibri"/>
          <w:i/>
          <w:color w:val="525866"/>
          <w:sz w:val="22"/>
        </w:rPr>
        <w:t>All peer commentary below is sourced from Q1 2026 earnings calls (reported after EQT’s Q1 2026 call on April 21, 2026) and the DVN JP Morgan Natural Resources Conference (June 23, 2026). Commentary is forward-looking, pertaining to Q2 2026 and beyond.</w:t>
      </w:r>
    </w:p>
    <w:p>
      <w:pPr>
        <w:pStyle w:val="Heading3"/>
      </w:pPr>
      <w:r>
        <w:rPr>
          <w:rFonts w:ascii="Calibri" w:hAnsi="Calibri"/>
          <w:b/>
          <w:color w:val="3B4259"/>
          <w:sz w:val="24"/>
        </w:rPr>
        <w:t>Antero Resources (AR) — Q1 2026 Earnings Call (April 30, 2026)</w:t>
      </w:r>
    </w:p>
    <w:p>
      <w:r>
        <w:rPr>
          <w:rFonts w:ascii="Calibri" w:hAnsi="Calibri"/>
          <w:color w:val="525866"/>
          <w:sz w:val="22"/>
        </w:rPr>
        <w:t>Focus: Q2 2026 forward commentary and Appalachian demand outlook</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AR Commentary</w:t>
            </w:r>
          </w:p>
        </w:tc>
        <w:tc>
          <w:tcPr>
            <w:tcW w:type="dxa" w:w="2880"/>
            <w:shd w:val="clear" w:color="auto" w:fill="3B4259"/>
          </w:tcPr>
          <w:p>
            <w:r>
              <w:rPr>
                <w:rFonts w:ascii="Calibri" w:hAnsi="Calibri"/>
                <w:b/>
                <w:color w:val="FFFFFF"/>
                <w:sz w:val="22"/>
              </w:rPr>
              <w:t>EQT Read-Through</w:t>
            </w:r>
          </w:p>
        </w:tc>
      </w:tr>
      <w:tr>
        <w:tc>
          <w:tcPr>
            <w:tcW w:type="dxa" w:w="2880"/>
          </w:tcPr>
          <w:p>
            <w:r>
              <w:rPr>
                <w:rFonts w:ascii="Calibri" w:hAnsi="Calibri"/>
                <w:sz w:val="22"/>
              </w:rPr>
              <w:t>LNG Demand Surge</w:t>
            </w:r>
          </w:p>
        </w:tc>
        <w:tc>
          <w:tcPr>
            <w:tcW w:type="dxa" w:w="2880"/>
          </w:tcPr>
          <w:p>
            <w:r>
              <w:rPr>
                <w:rFonts w:ascii="Calibri" w:hAnsi="Calibri"/>
                <w:sz w:val="22"/>
              </w:rPr>
              <w:t>LNG export demand rising 7 Bcf/day by end of 2027; Golden Pass shipped first cargo and ramping to 1.6 Bcf capacity in 2026, ultimately 2.4 Bcf/day in 2027. EU exited winter at second-lowest storage on record (below 30%), with Middle East imports down 91% in March/April.</w:t>
            </w:r>
          </w:p>
        </w:tc>
        <w:tc>
          <w:tcPr>
            <w:tcW w:type="dxa" w:w="2880"/>
          </w:tcPr>
          <w:p>
            <w:r>
              <w:rPr>
                <w:rFonts w:ascii="Calibri" w:hAnsi="Calibri"/>
                <w:b/>
                <w:color w:val="30A46C"/>
                <w:sz w:val="22"/>
              </w:rPr>
              <w:t>Positive</w:t>
            </w:r>
            <w:r>
              <w:rPr>
                <w:rFonts w:ascii="Calibri" w:hAnsi="Calibri"/>
                <w:sz w:val="22"/>
              </w:rPr>
              <w:t xml:space="preserve"> — Direct positive for EQT’s LNG thesis and basis differential outlook. Accelerating LNG pull tightens Appalachian supply/demand balance.</w:t>
            </w:r>
          </w:p>
        </w:tc>
      </w:tr>
      <w:tr>
        <w:tc>
          <w:tcPr>
            <w:tcW w:type="dxa" w:w="2880"/>
          </w:tcPr>
          <w:p>
            <w:r>
              <w:rPr>
                <w:rFonts w:ascii="Calibri" w:hAnsi="Calibri"/>
                <w:sz w:val="22"/>
              </w:rPr>
              <w:t>Appalachian Data Center Demand</w:t>
            </w:r>
          </w:p>
        </w:tc>
        <w:tc>
          <w:tcPr>
            <w:tcW w:type="dxa" w:w="2880"/>
          </w:tcPr>
          <w:p>
            <w:r>
              <w:rPr>
                <w:rFonts w:ascii="Calibri" w:hAnsi="Calibri"/>
                <w:sz w:val="22"/>
              </w:rPr>
              <w:t>Publicly announced power projects in AR’s region totaling over 8 Bcf/day of demand; including non-disclosed projects, estimates exceed 10 Bcf/day. WV’s 50x50 plan (15 GW to 50 GW by 2050). Microsoft/NVIDIA and Google projects announced in WV. AR participated in RFPs for gas supply totaling over 5 Bcf/day.</w:t>
            </w:r>
          </w:p>
        </w:tc>
        <w:tc>
          <w:tcPr>
            <w:tcW w:type="dxa" w:w="2880"/>
          </w:tcPr>
          <w:p>
            <w:r>
              <w:rPr>
                <w:rFonts w:ascii="Calibri" w:hAnsi="Calibri"/>
                <w:b/>
                <w:color w:val="30A46C"/>
                <w:sz w:val="22"/>
              </w:rPr>
              <w:t>Positive</w:t>
            </w:r>
            <w:r>
              <w:rPr>
                <w:rFonts w:ascii="Calibri" w:hAnsi="Calibri"/>
                <w:sz w:val="22"/>
              </w:rPr>
              <w:t xml:space="preserve"> — Directly corroborates EQT’s “multiple Bcf/day” pipeline commentary. Demand pipeline is real and accelerating.</w:t>
            </w:r>
          </w:p>
        </w:tc>
      </w:tr>
      <w:tr>
        <w:tc>
          <w:tcPr>
            <w:tcW w:type="dxa" w:w="2880"/>
          </w:tcPr>
          <w:p>
            <w:r>
              <w:rPr>
                <w:rFonts w:ascii="Calibri" w:hAnsi="Calibri"/>
                <w:sz w:val="22"/>
              </w:rPr>
              <w:t>Basis Differential Improvement</w:t>
            </w:r>
          </w:p>
        </w:tc>
        <w:tc>
          <w:tcPr>
            <w:tcW w:type="dxa" w:w="2880"/>
          </w:tcPr>
          <w:p>
            <w:r>
              <w:rPr>
                <w:rFonts w:ascii="Calibri" w:hAnsi="Calibri"/>
                <w:sz w:val="22"/>
              </w:rPr>
              <w:t>Expects tightness from LNG and regional power to improve local market pricing in two ways: more attractive pricing on long-term supply deals, and improved overall local market pricing. AR’s integrated upstream/midstream position cited as competitive advantage for winning supply contracts.</w:t>
            </w:r>
          </w:p>
        </w:tc>
        <w:tc>
          <w:tcPr>
            <w:tcW w:type="dxa" w:w="2880"/>
          </w:tcPr>
          <w:p>
            <w:r>
              <w:rPr>
                <w:rFonts w:ascii="Calibri" w:hAnsi="Calibri"/>
                <w:b/>
                <w:color w:val="30A46C"/>
                <w:sz w:val="22"/>
              </w:rPr>
              <w:t>Positive</w:t>
            </w:r>
            <w:r>
              <w:rPr>
                <w:rFonts w:ascii="Calibri" w:hAnsi="Calibri"/>
                <w:sz w:val="22"/>
              </w:rPr>
              <w:t xml:space="preserve"> — Positive read-through for EQT’s corporate differential. EQT’s vertical integration is an even stronger competitive advantage.</w:t>
            </w:r>
          </w:p>
        </w:tc>
      </w:tr>
      <w:tr>
        <w:tc>
          <w:tcPr>
            <w:tcW w:type="dxa" w:w="2880"/>
          </w:tcPr>
          <w:p>
            <w:r>
              <w:rPr>
                <w:rFonts w:ascii="Calibri" w:hAnsi="Calibri"/>
                <w:sz w:val="22"/>
              </w:rPr>
              <w:t>Q2 CapEx Profile</w:t>
            </w:r>
          </w:p>
        </w:tc>
        <w:tc>
          <w:tcPr>
            <w:tcW w:type="dxa" w:w="2880"/>
          </w:tcPr>
          <w:p>
            <w:r>
              <w:rPr>
                <w:rFonts w:ascii="Calibri" w:hAnsi="Calibri"/>
                <w:sz w:val="22"/>
              </w:rPr>
              <w:t>AR guided Q2 CapEx in the $300M range (full HG acquisition contribution); consistent with the sector-wide pattern of Q2 being peak CapEx.</w:t>
            </w:r>
          </w:p>
        </w:tc>
        <w:tc>
          <w:tcPr>
            <w:tcW w:type="dxa" w:w="2880"/>
          </w:tcPr>
          <w:p>
            <w:r>
              <w:rPr>
                <w:rFonts w:ascii="Calibri" w:hAnsi="Calibri"/>
                <w:b/>
                <w:sz w:val="22"/>
              </w:rPr>
              <w:t>Neutral</w:t>
            </w:r>
            <w:r>
              <w:rPr>
                <w:rFonts w:ascii="Calibri" w:hAnsi="Calibri"/>
                <w:sz w:val="22"/>
              </w:rPr>
              <w:t xml:space="preserve"> — Consistent with EQT’s Q2 peak CapEx commentary. Sector-wide pattern validates EQT’s H2 FCF acceleration thesis.</w:t>
            </w:r>
          </w:p>
        </w:tc>
      </w:tr>
      <w:tr>
        <w:tc>
          <w:tcPr>
            <w:tcW w:type="dxa" w:w="2880"/>
          </w:tcPr>
          <w:p>
            <w:r>
              <w:rPr>
                <w:rFonts w:ascii="Calibri" w:hAnsi="Calibri"/>
                <w:sz w:val="22"/>
              </w:rPr>
              <w:t>Cost Reduction</w:t>
            </w:r>
          </w:p>
        </w:tc>
        <w:tc>
          <w:tcPr>
            <w:tcW w:type="dxa" w:w="2880"/>
          </w:tcPr>
          <w:p>
            <w:r>
              <w:rPr>
                <w:rFonts w:ascii="Calibri" w:hAnsi="Calibri"/>
                <w:sz w:val="22"/>
              </w:rPr>
              <w:t>Reduced 2026 cash cost guidance by $0.10/Mcfe at midpoint; Q2–Q4 cash production expenses down $0.26/Mcfe (&gt;10% below 2025 average).</w:t>
            </w:r>
          </w:p>
        </w:tc>
        <w:tc>
          <w:tcPr>
            <w:tcW w:type="dxa" w:w="2880"/>
          </w:tcPr>
          <w:p>
            <w:r>
              <w:rPr>
                <w:rFonts w:ascii="Calibri" w:hAnsi="Calibri"/>
                <w:b/>
                <w:color w:val="30A46C"/>
                <w:sz w:val="22"/>
              </w:rPr>
              <w:t>Positive</w:t>
            </w:r>
            <w:r>
              <w:rPr>
                <w:rFonts w:ascii="Calibri" w:hAnsi="Calibri"/>
                <w:sz w:val="22"/>
              </w:rPr>
              <w:t xml:space="preserve"> — Positive read-through for EQT’s cost structure. Sector-wide cost deflation supports EQT’s low-cost positioning.</w:t>
            </w:r>
          </w:p>
        </w:tc>
      </w:tr>
    </w:tbl>
    <w:p>
      <w:pPr>
        <w:pStyle w:val="Heading3"/>
      </w:pPr>
      <w:r>
        <w:rPr>
          <w:rFonts w:ascii="Calibri" w:hAnsi="Calibri"/>
          <w:b/>
          <w:color w:val="3B4259"/>
          <w:sz w:val="24"/>
        </w:rPr>
        <w:t>Devon Energy (DVN) — Q1 2026 Earnings Call (May 6, 2026) &amp; JP Morgan Conference (June 23, 2026)</w:t>
      </w:r>
    </w:p>
    <w:p>
      <w:r>
        <w:rPr>
          <w:rFonts w:ascii="Calibri" w:hAnsi="Calibri"/>
          <w:color w:val="525866"/>
          <w:sz w:val="22"/>
        </w:rPr>
        <w:t>Focus: Broader E&amp;P sector read-through (Devon is primarily oil-focused but has Appalachian gas exposure and provides sector-wide demand commentary)</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DVN Commentary</w:t>
            </w:r>
          </w:p>
        </w:tc>
        <w:tc>
          <w:tcPr>
            <w:tcW w:type="dxa" w:w="2880"/>
            <w:shd w:val="clear" w:color="auto" w:fill="3B4259"/>
          </w:tcPr>
          <w:p>
            <w:r>
              <w:rPr>
                <w:rFonts w:ascii="Calibri" w:hAnsi="Calibri"/>
                <w:b/>
                <w:color w:val="FFFFFF"/>
                <w:sz w:val="22"/>
              </w:rPr>
              <w:t>EQT Read-Through</w:t>
            </w:r>
          </w:p>
        </w:tc>
      </w:tr>
      <w:tr>
        <w:tc>
          <w:tcPr>
            <w:tcW w:type="dxa" w:w="2880"/>
          </w:tcPr>
          <w:p>
            <w:r>
              <w:rPr>
                <w:rFonts w:ascii="Calibri" w:hAnsi="Calibri"/>
                <w:sz w:val="22"/>
              </w:rPr>
              <w:t>Commodity Backdrop Stronger Than Expected</w:t>
            </w:r>
          </w:p>
        </w:tc>
        <w:tc>
          <w:tcPr>
            <w:tcW w:type="dxa" w:w="2880"/>
          </w:tcPr>
          <w:p>
            <w:r>
              <w:rPr>
                <w:rFonts w:ascii="Calibri" w:hAnsi="Calibri"/>
                <w:sz w:val="22"/>
              </w:rPr>
              <w:t>“The commodity backdrop is meaningfully stronger than what anyone underwrote coming into this year.” Production expected to step up in Q2. Cost structure “well controlled.”</w:t>
            </w:r>
          </w:p>
        </w:tc>
        <w:tc>
          <w:tcPr>
            <w:tcW w:type="dxa" w:w="2880"/>
          </w:tcPr>
          <w:p>
            <w:r>
              <w:rPr>
                <w:rFonts w:ascii="Calibri" w:hAnsi="Calibri"/>
                <w:b/>
                <w:color w:val="30A46C"/>
                <w:sz w:val="22"/>
              </w:rPr>
              <w:t>Positive</w:t>
            </w:r>
            <w:r>
              <w:rPr>
                <w:rFonts w:ascii="Calibri" w:hAnsi="Calibri"/>
                <w:sz w:val="22"/>
              </w:rPr>
              <w:t xml:space="preserve"> — Broadly positive sector sentiment. Supports EQT’s operational confidence heading into Q2.</w:t>
            </w:r>
          </w:p>
        </w:tc>
      </w:tr>
      <w:tr>
        <w:tc>
          <w:tcPr>
            <w:tcW w:type="dxa" w:w="2880"/>
          </w:tcPr>
          <w:p>
            <w:r>
              <w:rPr>
                <w:rFonts w:ascii="Calibri" w:hAnsi="Calibri"/>
                <w:sz w:val="22"/>
              </w:rPr>
              <w:t>Power Demand Bull Case</w:t>
            </w:r>
          </w:p>
        </w:tc>
        <w:tc>
          <w:tcPr>
            <w:tcW w:type="dxa" w:w="2880"/>
          </w:tcPr>
          <w:p>
            <w:r>
              <w:rPr>
                <w:rFonts w:ascii="Calibri" w:hAnsi="Calibri"/>
                <w:sz w:val="22"/>
              </w:rPr>
              <w:t>DVN’s CTO highlighted “firm always-on, 365-day power demand” across the U.S. as an unexpected positive; “continue to be pretty bullish on that power demand story.”</w:t>
            </w:r>
          </w:p>
        </w:tc>
        <w:tc>
          <w:tcPr>
            <w:tcW w:type="dxa" w:w="2880"/>
          </w:tcPr>
          <w:p>
            <w:r>
              <w:rPr>
                <w:rFonts w:ascii="Calibri" w:hAnsi="Calibri"/>
                <w:b/>
                <w:color w:val="30A46C"/>
                <w:sz w:val="22"/>
              </w:rPr>
              <w:t>Positive</w:t>
            </w:r>
            <w:r>
              <w:rPr>
                <w:rFonts w:ascii="Calibri" w:hAnsi="Calibri"/>
                <w:sz w:val="22"/>
              </w:rPr>
              <w:t xml:space="preserve"> — Corroborates EQT’s power demand upgrade from bull case to base case. Cross-sector validation of the demand thesis.</w:t>
            </w:r>
          </w:p>
        </w:tc>
      </w:tr>
      <w:tr>
        <w:tc>
          <w:tcPr>
            <w:tcW w:type="dxa" w:w="2880"/>
          </w:tcPr>
          <w:p>
            <w:r>
              <w:rPr>
                <w:rFonts w:ascii="Calibri" w:hAnsi="Calibri"/>
                <w:sz w:val="22"/>
              </w:rPr>
              <w:t>Curtailment Strategy</w:t>
            </w:r>
          </w:p>
        </w:tc>
        <w:tc>
          <w:tcPr>
            <w:tcW w:type="dxa" w:w="2880"/>
          </w:tcPr>
          <w:p>
            <w:r>
              <w:rPr>
                <w:rFonts w:ascii="Calibri" w:hAnsi="Calibri"/>
                <w:sz w:val="22"/>
              </w:rPr>
              <w:t>DVN manages high-GOR wells by pulling back production during periods of negative Waha prices — consistent with EQT’s curtailment-as-storage philosophy. “You saw a little bit of that in the first quarter.”</w:t>
            </w:r>
          </w:p>
        </w:tc>
        <w:tc>
          <w:tcPr>
            <w:tcW w:type="dxa" w:w="2880"/>
          </w:tcPr>
          <w:p>
            <w:r>
              <w:rPr>
                <w:rFonts w:ascii="Calibri" w:hAnsi="Calibri"/>
                <w:b/>
                <w:sz w:val="22"/>
              </w:rPr>
              <w:t>Neutral</w:t>
            </w:r>
            <w:r>
              <w:rPr>
                <w:rFonts w:ascii="Calibri" w:hAnsi="Calibri"/>
                <w:sz w:val="22"/>
              </w:rPr>
              <w:t xml:space="preserve"> — Sector-wide validation of the curtailment optimization approach. Confirms EQT’s strategy is industry best practice.</w:t>
            </w:r>
          </w:p>
        </w:tc>
      </w:tr>
    </w:tbl>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Theme</w:t>
            </w:r>
          </w:p>
        </w:tc>
        <w:tc>
          <w:tcPr>
            <w:tcW w:type="dxa" w:w="1440"/>
            <w:shd w:val="clear" w:color="auto" w:fill="3B4259"/>
          </w:tcPr>
          <w:p>
            <w:r>
              <w:rPr>
                <w:rFonts w:ascii="Calibri" w:hAnsi="Calibri"/>
                <w:b/>
                <w:color w:val="FFFFFF"/>
                <w:sz w:val="22"/>
              </w:rPr>
              <w:t>AR</w:t>
            </w:r>
          </w:p>
        </w:tc>
        <w:tc>
          <w:tcPr>
            <w:tcW w:type="dxa" w:w="1440"/>
            <w:shd w:val="clear" w:color="auto" w:fill="3B4259"/>
          </w:tcPr>
          <w:p>
            <w:r>
              <w:rPr>
                <w:rFonts w:ascii="Calibri" w:hAnsi="Calibri"/>
                <w:b/>
                <w:color w:val="FFFFFF"/>
                <w:sz w:val="22"/>
              </w:rPr>
              <w:t>RRC</w:t>
            </w:r>
          </w:p>
        </w:tc>
        <w:tc>
          <w:tcPr>
            <w:tcW w:type="dxa" w:w="1440"/>
            <w:shd w:val="clear" w:color="auto" w:fill="3B4259"/>
          </w:tcPr>
          <w:p>
            <w:r>
              <w:rPr>
                <w:rFonts w:ascii="Calibri" w:hAnsi="Calibri"/>
                <w:b/>
                <w:color w:val="FFFFFF"/>
                <w:sz w:val="22"/>
              </w:rPr>
              <w:t>Expand Energy</w:t>
            </w:r>
          </w:p>
        </w:tc>
        <w:tc>
          <w:tcPr>
            <w:tcW w:type="dxa" w:w="1440"/>
            <w:shd w:val="clear" w:color="auto" w:fill="3B4259"/>
          </w:tcPr>
          <w:p>
            <w:r>
              <w:rPr>
                <w:rFonts w:ascii="Calibri" w:hAnsi="Calibri"/>
                <w:b/>
                <w:color w:val="FFFFFF"/>
                <w:sz w:val="22"/>
              </w:rPr>
              <w:t>DVN</w:t>
            </w:r>
          </w:p>
        </w:tc>
        <w:tc>
          <w:tcPr>
            <w:tcW w:type="dxa" w:w="1440"/>
            <w:shd w:val="clear" w:color="auto" w:fill="3B4259"/>
          </w:tcPr>
          <w:p>
            <w:r>
              <w:rPr>
                <w:rFonts w:ascii="Calibri" w:hAnsi="Calibri"/>
                <w:b/>
                <w:color w:val="FFFFFF"/>
                <w:sz w:val="22"/>
              </w:rPr>
              <w:t>EQT Read-Through</w:t>
            </w:r>
          </w:p>
        </w:tc>
      </w:tr>
      <w:tr>
        <w:tc>
          <w:tcPr>
            <w:tcW w:type="dxa" w:w="1440"/>
          </w:tcPr>
          <w:p>
            <w:r>
              <w:rPr>
                <w:rFonts w:ascii="Calibri" w:hAnsi="Calibri"/>
                <w:sz w:val="22"/>
              </w:rPr>
              <w:t>Q2 = Peak CapEx</w:t>
            </w:r>
          </w:p>
        </w:tc>
        <w:tc>
          <w:tcPr>
            <w:tcW w:type="dxa" w:w="1440"/>
          </w:tcPr>
          <w:p>
            <w:r>
              <w:rPr>
                <w:rFonts w:ascii="Calibri" w:hAnsi="Calibri"/>
                <w:b/>
                <w:sz w:val="22"/>
              </w:rPr>
              <w:t>✓</w:t>
            </w:r>
          </w:p>
        </w:tc>
        <w:tc>
          <w:tcPr>
            <w:tcW w:type="dxa" w:w="1440"/>
          </w:tcPr>
          <w:p>
            <w:r>
              <w:rPr>
                <w:rFonts w:ascii="Calibri" w:hAnsi="Calibri"/>
                <w:b/>
                <w:sz w:val="22"/>
              </w:rPr>
              <w:t>✓</w:t>
            </w:r>
          </w:p>
        </w:tc>
        <w:tc>
          <w:tcPr>
            <w:tcW w:type="dxa" w:w="1440"/>
          </w:tcPr>
          <w:p>
            <w:r>
              <w:rPr>
                <w:rFonts w:ascii="Calibri" w:hAnsi="Calibri"/>
                <w:b/>
                <w:sz w:val="22"/>
              </w:rPr>
              <w:t>✓</w:t>
            </w:r>
          </w:p>
        </w:tc>
        <w:tc>
          <w:tcPr>
            <w:tcW w:type="dxa" w:w="1440"/>
          </w:tcPr>
          <w:p>
            <w:r>
              <w:rPr>
                <w:rFonts w:ascii="Calibri" w:hAnsi="Calibri"/>
                <w:sz w:val="22"/>
              </w:rPr>
              <w:t>—</w:t>
            </w:r>
          </w:p>
        </w:tc>
        <w:tc>
          <w:tcPr>
            <w:tcW w:type="dxa" w:w="1440"/>
          </w:tcPr>
          <w:p>
            <w:r>
              <w:rPr>
                <w:rFonts w:ascii="Calibri" w:hAnsi="Calibri"/>
                <w:b/>
                <w:color w:val="30A46C"/>
                <w:sz w:val="22"/>
              </w:rPr>
              <w:t>Positive</w:t>
            </w:r>
          </w:p>
        </w:tc>
      </w:tr>
      <w:tr>
        <w:tc>
          <w:tcPr>
            <w:tcW w:type="dxa" w:w="1440"/>
          </w:tcPr>
          <w:p>
            <w:r>
              <w:rPr>
                <w:rFonts w:ascii="Calibri" w:hAnsi="Calibri"/>
                <w:sz w:val="22"/>
              </w:rPr>
              <w:t>LNG Demand Acceleration</w:t>
            </w:r>
          </w:p>
        </w:tc>
        <w:tc>
          <w:tcPr>
            <w:tcW w:type="dxa" w:w="1440"/>
          </w:tcPr>
          <w:p>
            <w:r>
              <w:rPr>
                <w:rFonts w:ascii="Calibri" w:hAnsi="Calibri"/>
                <w:b/>
                <w:sz w:val="22"/>
              </w:rPr>
              <w:t>✓</w:t>
            </w:r>
          </w:p>
        </w:tc>
        <w:tc>
          <w:tcPr>
            <w:tcW w:type="dxa" w:w="1440"/>
          </w:tcPr>
          <w:p>
            <w:r>
              <w:rPr>
                <w:rFonts w:ascii="Calibri" w:hAnsi="Calibri"/>
                <w:b/>
                <w:sz w:val="22"/>
              </w:rPr>
              <w:t>✓</w:t>
            </w:r>
          </w:p>
        </w:tc>
        <w:tc>
          <w:tcPr>
            <w:tcW w:type="dxa" w:w="1440"/>
          </w:tcPr>
          <w:p>
            <w:r>
              <w:rPr>
                <w:rFonts w:ascii="Calibri" w:hAnsi="Calibri"/>
                <w:b/>
                <w:sz w:val="22"/>
              </w:rPr>
              <w:t>✓</w:t>
            </w:r>
          </w:p>
        </w:tc>
        <w:tc>
          <w:tcPr>
            <w:tcW w:type="dxa" w:w="1440"/>
          </w:tcPr>
          <w:p>
            <w:r>
              <w:rPr>
                <w:rFonts w:ascii="Calibri" w:hAnsi="Calibri"/>
                <w:sz w:val="22"/>
              </w:rPr>
              <w:t>—</w:t>
            </w:r>
          </w:p>
        </w:tc>
        <w:tc>
          <w:tcPr>
            <w:tcW w:type="dxa" w:w="1440"/>
          </w:tcPr>
          <w:p>
            <w:r>
              <w:rPr>
                <w:rFonts w:ascii="Calibri" w:hAnsi="Calibri"/>
                <w:b/>
                <w:color w:val="30A46C"/>
                <w:sz w:val="22"/>
              </w:rPr>
              <w:t>Positive</w:t>
            </w:r>
          </w:p>
        </w:tc>
      </w:tr>
      <w:tr>
        <w:tc>
          <w:tcPr>
            <w:tcW w:type="dxa" w:w="1440"/>
          </w:tcPr>
          <w:p>
            <w:r>
              <w:rPr>
                <w:rFonts w:ascii="Calibri" w:hAnsi="Calibri"/>
                <w:sz w:val="22"/>
              </w:rPr>
              <w:t>Data Center / Power Demand</w:t>
            </w:r>
          </w:p>
        </w:tc>
        <w:tc>
          <w:tcPr>
            <w:tcW w:type="dxa" w:w="1440"/>
          </w:tcPr>
          <w:p>
            <w:r>
              <w:rPr>
                <w:rFonts w:ascii="Calibri" w:hAnsi="Calibri"/>
                <w:b/>
                <w:sz w:val="22"/>
              </w:rPr>
              <w:t>✓</w:t>
            </w:r>
          </w:p>
        </w:tc>
        <w:tc>
          <w:tcPr>
            <w:tcW w:type="dxa" w:w="1440"/>
          </w:tcPr>
          <w:p>
            <w:r>
              <w:rPr>
                <w:rFonts w:ascii="Calibri" w:hAnsi="Calibri"/>
                <w:b/>
                <w:sz w:val="22"/>
              </w:rPr>
              <w:t>✓</w:t>
            </w:r>
          </w:p>
        </w:tc>
        <w:tc>
          <w:tcPr>
            <w:tcW w:type="dxa" w:w="1440"/>
          </w:tcPr>
          <w:p>
            <w:r>
              <w:rPr>
                <w:rFonts w:ascii="Calibri" w:hAnsi="Calibri"/>
                <w:b/>
                <w:sz w:val="22"/>
              </w:rPr>
              <w:t>✓</w:t>
            </w:r>
          </w:p>
        </w:tc>
        <w:tc>
          <w:tcPr>
            <w:tcW w:type="dxa" w:w="1440"/>
          </w:tcPr>
          <w:p>
            <w:r>
              <w:rPr>
                <w:rFonts w:ascii="Calibri" w:hAnsi="Calibri"/>
                <w:b/>
                <w:sz w:val="22"/>
              </w:rPr>
              <w:t>✓</w:t>
            </w:r>
          </w:p>
        </w:tc>
        <w:tc>
          <w:tcPr>
            <w:tcW w:type="dxa" w:w="1440"/>
          </w:tcPr>
          <w:p>
            <w:r>
              <w:rPr>
                <w:rFonts w:ascii="Calibri" w:hAnsi="Calibri"/>
                <w:b/>
                <w:color w:val="30A46C"/>
                <w:sz w:val="22"/>
              </w:rPr>
              <w:t>Positive</w:t>
            </w:r>
          </w:p>
        </w:tc>
      </w:tr>
      <w:tr>
        <w:tc>
          <w:tcPr>
            <w:tcW w:type="dxa" w:w="1440"/>
          </w:tcPr>
          <w:p>
            <w:r>
              <w:rPr>
                <w:rFonts w:ascii="Calibri" w:hAnsi="Calibri"/>
                <w:sz w:val="22"/>
              </w:rPr>
              <w:t>Basis Differential Improvement</w:t>
            </w:r>
          </w:p>
        </w:tc>
        <w:tc>
          <w:tcPr>
            <w:tcW w:type="dxa" w:w="1440"/>
          </w:tcPr>
          <w:p>
            <w:r>
              <w:rPr>
                <w:rFonts w:ascii="Calibri" w:hAnsi="Calibri"/>
                <w:b/>
                <w:sz w:val="22"/>
              </w:rPr>
              <w:t>✓</w:t>
            </w:r>
          </w:p>
        </w:tc>
        <w:tc>
          <w:tcPr>
            <w:tcW w:type="dxa" w:w="1440"/>
          </w:tcPr>
          <w:p>
            <w:r>
              <w:rPr>
                <w:rFonts w:ascii="Calibri" w:hAnsi="Calibri"/>
                <w:b/>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b/>
                <w:color w:val="30A46C"/>
                <w:sz w:val="22"/>
              </w:rPr>
              <w:t>Positive</w:t>
            </w:r>
          </w:p>
        </w:tc>
      </w:tr>
      <w:tr>
        <w:tc>
          <w:tcPr>
            <w:tcW w:type="dxa" w:w="1440"/>
          </w:tcPr>
          <w:p>
            <w:r>
              <w:rPr>
                <w:rFonts w:ascii="Calibri" w:hAnsi="Calibri"/>
                <w:sz w:val="22"/>
              </w:rPr>
              <w:t>Curtailment as Optimization</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b/>
                <w:sz w:val="22"/>
              </w:rPr>
              <w:t>✓</w:t>
            </w:r>
          </w:p>
        </w:tc>
        <w:tc>
          <w:tcPr>
            <w:tcW w:type="dxa" w:w="1440"/>
          </w:tcPr>
          <w:p>
            <w:r>
              <w:rPr>
                <w:rFonts w:ascii="Calibri" w:hAnsi="Calibri"/>
                <w:b/>
                <w:sz w:val="22"/>
              </w:rPr>
              <w:t>✓</w:t>
            </w:r>
          </w:p>
        </w:tc>
        <w:tc>
          <w:tcPr>
            <w:tcW w:type="dxa" w:w="1440"/>
          </w:tcPr>
          <w:p>
            <w:r>
              <w:rPr>
                <w:rFonts w:ascii="Calibri" w:hAnsi="Calibri"/>
                <w:b/>
                <w:sz w:val="22"/>
              </w:rPr>
              <w:t>Neutral</w:t>
            </w:r>
          </w:p>
        </w:tc>
      </w:tr>
      <w:tr>
        <w:tc>
          <w:tcPr>
            <w:tcW w:type="dxa" w:w="1440"/>
          </w:tcPr>
          <w:p>
            <w:r>
              <w:rPr>
                <w:rFonts w:ascii="Calibri" w:hAnsi="Calibri"/>
                <w:sz w:val="22"/>
              </w:rPr>
              <w:t>Cost Deflation</w:t>
            </w:r>
          </w:p>
        </w:tc>
        <w:tc>
          <w:tcPr>
            <w:tcW w:type="dxa" w:w="1440"/>
          </w:tcPr>
          <w:p>
            <w:r>
              <w:rPr>
                <w:rFonts w:ascii="Calibri" w:hAnsi="Calibri"/>
                <w:b/>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b/>
                <w:sz w:val="22"/>
              </w:rPr>
              <w:t>✓</w:t>
            </w:r>
          </w:p>
        </w:tc>
        <w:tc>
          <w:tcPr>
            <w:tcW w:type="dxa" w:w="1440"/>
          </w:tcPr>
          <w:p>
            <w:r>
              <w:rPr>
                <w:rFonts w:ascii="Calibri" w:hAnsi="Calibri"/>
                <w:b/>
                <w:color w:val="30A46C"/>
                <w:sz w:val="22"/>
              </w:rPr>
              <w:t>Positive</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Only two insider transactions since Q1 earnings — CEO Toby Rice’s </w:t>
      </w:r>
      <w:r>
        <w:rPr>
          <w:rFonts w:ascii="Calibri" w:hAnsi="Calibri"/>
          <w:b/>
          <w:color w:val="525866"/>
          <w:sz w:val="22"/>
        </w:rPr>
        <w:t>pre-planned 10b5-1 sale</w:t>
      </w:r>
      <w:r>
        <w:rPr>
          <w:rFonts w:ascii="Calibri" w:hAnsi="Calibri"/>
          <w:color w:val="525866"/>
          <w:sz w:val="22"/>
        </w:rPr>
        <w:t xml:space="preserve"> and Director Vicky Bailey’s </w:t>
      </w:r>
      <w:r>
        <w:rPr>
          <w:rFonts w:ascii="Calibri" w:hAnsi="Calibri"/>
          <w:b/>
          <w:color w:val="525866"/>
          <w:sz w:val="22"/>
        </w:rPr>
        <w:t>full exit of her position</w:t>
      </w:r>
      <w:r>
        <w:rPr>
          <w:rFonts w:ascii="Calibri" w:hAnsi="Calibri"/>
          <w:color w:val="525866"/>
          <w:sz w:val="22"/>
        </w:rPr>
        <w:t xml:space="preserve">. Neither signals fundamental concern; the CEO sale is routine and the director exit is likely personal financial planning. The absence of </w:t>
      </w:r>
      <w:r>
        <w:rPr>
          <w:rFonts w:ascii="Calibri" w:hAnsi="Calibri"/>
          <w:b/>
          <w:color w:val="525866"/>
          <w:sz w:val="22"/>
        </w:rPr>
        <w:t>open-market purchases at current ~$49 levels</w:t>
      </w:r>
      <w:r>
        <w:rPr>
          <w:rFonts w:ascii="Calibri" w:hAnsi="Calibri"/>
          <w:color w:val="525866"/>
          <w:sz w:val="22"/>
        </w:rPr>
        <w:t xml:space="preserve"> (near 52-week lows) is worth noting.</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Name</w:t>
            </w:r>
          </w:p>
        </w:tc>
        <w:tc>
          <w:tcPr>
            <w:tcW w:type="dxa" w:w="1080"/>
            <w:shd w:val="clear" w:color="auto" w:fill="3B4259"/>
          </w:tcPr>
          <w:p>
            <w:r>
              <w:rPr>
                <w:rFonts w:ascii="Calibri" w:hAnsi="Calibri"/>
                <w:b/>
                <w:color w:val="FFFFFF"/>
                <w:sz w:val="22"/>
              </w:rPr>
              <w:t>Title</w:t>
            </w:r>
          </w:p>
        </w:tc>
        <w:tc>
          <w:tcPr>
            <w:tcW w:type="dxa" w:w="1080"/>
            <w:shd w:val="clear" w:color="auto" w:fill="3B4259"/>
          </w:tcPr>
          <w:p>
            <w:r>
              <w:rPr>
                <w:rFonts w:ascii="Calibri" w:hAnsi="Calibri"/>
                <w:b/>
                <w:color w:val="FFFFFF"/>
                <w:sz w:val="22"/>
              </w:rPr>
              <w:t>Transaction Type</w:t>
            </w:r>
          </w:p>
        </w:tc>
        <w:tc>
          <w:tcPr>
            <w:tcW w:type="dxa" w:w="1080"/>
            <w:shd w:val="clear" w:color="auto" w:fill="3B4259"/>
          </w:tcPr>
          <w:p>
            <w:r>
              <w:rPr>
                <w:rFonts w:ascii="Calibri" w:hAnsi="Calibri"/>
                <w:b/>
                <w:color w:val="FFFFFF"/>
                <w:sz w:val="22"/>
              </w:rPr>
              <w:t>Shares</w:t>
            </w:r>
          </w:p>
        </w:tc>
        <w:tc>
          <w:tcPr>
            <w:tcW w:type="dxa" w:w="1080"/>
            <w:shd w:val="clear" w:color="auto" w:fill="3B4259"/>
          </w:tcPr>
          <w:p>
            <w:r>
              <w:rPr>
                <w:rFonts w:ascii="Calibri" w:hAnsi="Calibri"/>
                <w:b/>
                <w:color w:val="FFFFFF"/>
                <w:sz w:val="22"/>
              </w:rPr>
              <w:t>Est. Value</w:t>
            </w:r>
          </w:p>
        </w:tc>
        <w:tc>
          <w:tcPr>
            <w:tcW w:type="dxa" w:w="1080"/>
            <w:shd w:val="clear" w:color="auto" w:fill="3B4259"/>
          </w:tcPr>
          <w:p>
            <w:r>
              <w:rPr>
                <w:rFonts w:ascii="Calibri" w:hAnsi="Calibri"/>
                <w:b/>
                <w:color w:val="FFFFFF"/>
                <w:sz w:val="22"/>
              </w:rPr>
              <w:t>Effective Date</w:t>
            </w:r>
          </w:p>
        </w:tc>
        <w:tc>
          <w:tcPr>
            <w:tcW w:type="dxa" w:w="1080"/>
            <w:shd w:val="clear" w:color="auto" w:fill="3B4259"/>
          </w:tcPr>
          <w:p>
            <w:r>
              <w:rPr>
                <w:rFonts w:ascii="Calibri" w:hAnsi="Calibri"/>
                <w:b/>
                <w:color w:val="FFFFFF"/>
                <w:sz w:val="22"/>
              </w:rPr>
              <w:t>Disclosed Date</w:t>
            </w:r>
          </w:p>
        </w:tc>
        <w:tc>
          <w:tcPr>
            <w:tcW w:type="dxa" w:w="1080"/>
            <w:shd w:val="clear" w:color="auto" w:fill="3B4259"/>
          </w:tcPr>
          <w:p>
            <w:r>
              <w:rPr>
                <w:rFonts w:ascii="Calibri" w:hAnsi="Calibri"/>
                <w:b/>
                <w:color w:val="FFFFFF"/>
                <w:sz w:val="22"/>
              </w:rPr>
              <w:t>Note</w:t>
            </w:r>
          </w:p>
        </w:tc>
      </w:tr>
      <w:tr>
        <w:tc>
          <w:tcPr>
            <w:tcW w:type="dxa" w:w="1080"/>
          </w:tcPr>
          <w:p>
            <w:r>
              <w:rPr>
                <w:rFonts w:ascii="Calibri" w:hAnsi="Calibri"/>
                <w:sz w:val="22"/>
              </w:rPr>
              <w:t>Toby Z. Rice</w:t>
            </w:r>
          </w:p>
        </w:tc>
        <w:tc>
          <w:tcPr>
            <w:tcW w:type="dxa" w:w="1080"/>
          </w:tcPr>
          <w:p>
            <w:r>
              <w:rPr>
                <w:rFonts w:ascii="Calibri" w:hAnsi="Calibri"/>
                <w:sz w:val="22"/>
              </w:rPr>
              <w:t>President &amp; CEO, Director</w:t>
            </w:r>
          </w:p>
        </w:tc>
        <w:tc>
          <w:tcPr>
            <w:tcW w:type="dxa" w:w="1080"/>
          </w:tcPr>
          <w:p>
            <w:r>
              <w:rPr>
                <w:rFonts w:ascii="Calibri" w:hAnsi="Calibri"/>
                <w:sz w:val="22"/>
              </w:rPr>
              <w:t>10b5-1 Planned Sale</w:t>
            </w:r>
          </w:p>
        </w:tc>
        <w:tc>
          <w:tcPr>
            <w:tcW w:type="dxa" w:w="1080"/>
          </w:tcPr>
          <w:p>
            <w:r>
              <w:rPr>
                <w:rFonts w:ascii="Calibri" w:hAnsi="Calibri"/>
                <w:sz w:val="22"/>
              </w:rPr>
              <w:t>1,731</w:t>
            </w:r>
          </w:p>
        </w:tc>
        <w:tc>
          <w:tcPr>
            <w:tcW w:type="dxa" w:w="1080"/>
          </w:tcPr>
          <w:p>
            <w:r>
              <w:rPr>
                <w:rFonts w:ascii="Calibri" w:hAnsi="Calibri"/>
                <w:sz w:val="22"/>
              </w:rPr>
              <w:t>~$91K (at ~$52.98)</w:t>
            </w:r>
          </w:p>
        </w:tc>
        <w:tc>
          <w:tcPr>
            <w:tcW w:type="dxa" w:w="1080"/>
          </w:tcPr>
          <w:p>
            <w:r>
              <w:rPr>
                <w:rFonts w:ascii="Calibri" w:hAnsi="Calibri"/>
                <w:sz w:val="22"/>
              </w:rPr>
              <w:t>June 8, 2026</w:t>
            </w:r>
          </w:p>
        </w:tc>
        <w:tc>
          <w:tcPr>
            <w:tcW w:type="dxa" w:w="1080"/>
          </w:tcPr>
          <w:p>
            <w:r>
              <w:rPr>
                <w:rFonts w:ascii="Calibri" w:hAnsi="Calibri"/>
                <w:sz w:val="22"/>
              </w:rPr>
              <w:t>June 9, 2026</w:t>
            </w:r>
          </w:p>
        </w:tc>
        <w:tc>
          <w:tcPr>
            <w:tcW w:type="dxa" w:w="1080"/>
          </w:tcPr>
          <w:p>
            <w:r>
              <w:rPr>
                <w:rFonts w:ascii="Calibri" w:hAnsi="Calibri"/>
                <w:sz w:val="22"/>
              </w:rPr>
              <w:t>Pre-planned 10b5-1 plan; routine execution; retains 2,333,193 shares</w:t>
            </w:r>
          </w:p>
        </w:tc>
      </w:tr>
      <w:tr>
        <w:tc>
          <w:tcPr>
            <w:tcW w:type="dxa" w:w="1080"/>
          </w:tcPr>
          <w:p>
            <w:r>
              <w:rPr>
                <w:rFonts w:ascii="Calibri" w:hAnsi="Calibri"/>
                <w:sz w:val="22"/>
              </w:rPr>
              <w:t>Vicky A. Bailey</w:t>
            </w:r>
          </w:p>
        </w:tc>
        <w:tc>
          <w:tcPr>
            <w:tcW w:type="dxa" w:w="1080"/>
          </w:tcPr>
          <w:p>
            <w:r>
              <w:rPr>
                <w:rFonts w:ascii="Calibri" w:hAnsi="Calibri"/>
                <w:sz w:val="22"/>
              </w:rPr>
              <w:t>Director</w:t>
            </w:r>
          </w:p>
        </w:tc>
        <w:tc>
          <w:tcPr>
            <w:tcW w:type="dxa" w:w="1080"/>
          </w:tcPr>
          <w:p>
            <w:r>
              <w:rPr>
                <w:rFonts w:ascii="Calibri" w:hAnsi="Calibri"/>
                <w:sz w:val="22"/>
              </w:rPr>
              <w:t>Open Market Sale</w:t>
            </w:r>
          </w:p>
        </w:tc>
        <w:tc>
          <w:tcPr>
            <w:tcW w:type="dxa" w:w="1080"/>
          </w:tcPr>
          <w:p>
            <w:r>
              <w:rPr>
                <w:rFonts w:ascii="Calibri" w:hAnsi="Calibri"/>
                <w:sz w:val="22"/>
              </w:rPr>
              <w:t>4,116</w:t>
            </w:r>
          </w:p>
        </w:tc>
        <w:tc>
          <w:tcPr>
            <w:tcW w:type="dxa" w:w="1080"/>
          </w:tcPr>
          <w:p>
            <w:r>
              <w:rPr>
                <w:rFonts w:ascii="Calibri" w:hAnsi="Calibri"/>
                <w:sz w:val="22"/>
              </w:rPr>
              <w:t>~$243K (at ~$59.11)</w:t>
            </w:r>
          </w:p>
        </w:tc>
        <w:tc>
          <w:tcPr>
            <w:tcW w:type="dxa" w:w="1080"/>
          </w:tcPr>
          <w:p>
            <w:r>
              <w:rPr>
                <w:rFonts w:ascii="Calibri" w:hAnsi="Calibri"/>
                <w:sz w:val="22"/>
              </w:rPr>
              <w:t>April 27, 2026</w:t>
            </w:r>
          </w:p>
        </w:tc>
        <w:tc>
          <w:tcPr>
            <w:tcW w:type="dxa" w:w="1080"/>
          </w:tcPr>
          <w:p>
            <w:r>
              <w:rPr>
                <w:rFonts w:ascii="Calibri" w:hAnsi="Calibri"/>
                <w:sz w:val="22"/>
              </w:rPr>
              <w:t>April 29, 2026</w:t>
            </w:r>
          </w:p>
        </w:tc>
        <w:tc>
          <w:tcPr>
            <w:tcW w:type="dxa" w:w="1080"/>
          </w:tcPr>
          <w:p>
            <w:r>
              <w:rPr>
                <w:rFonts w:ascii="Calibri" w:hAnsi="Calibri"/>
                <w:sz w:val="22"/>
              </w:rPr>
              <w:t>Full exit of position (0 shares remaining); likely personal financial planning</w:t>
            </w:r>
          </w:p>
        </w:tc>
      </w:tr>
    </w:tbl>
    <w:p>
      <w:r>
        <w:rPr>
          <w:rFonts w:ascii="Calibri" w:hAnsi="Calibri"/>
          <w:color w:val="525866"/>
          <w:sz w:val="22"/>
        </w:rPr>
        <w:t>No open-market purchases by insiders since Q1 earnings. The absence of insider buying at current levels (~$49, near 52-week lows) is worth noting — management has not yet stepped in to signal conviction at these prices, though the CEO’s large retained position (2.33M shares, valued at ~$114M at current prices) remains a meaningful alignment signal.</w:t>
      </w:r>
    </w:p>
    <w:p>
      <w:r>
        <w:rPr>
          <w:rFonts w:ascii="Calibri" w:hAnsi="Calibri"/>
          <w:i/>
          <w:color w:val="525866"/>
          <w:sz w:val="22"/>
        </w:rPr>
        <w:t xml:space="preserve">Sources: </w:t>
      </w:r>
      <w:r>
        <w:rPr>
          <w:rFonts w:ascii="Calibri" w:hAnsi="Calibri"/>
          <w:i/>
          <w:color w:val="525866"/>
          <w:sz w:val="22"/>
        </w:rPr>
        <w:t>Visible Alpha Consensus and Actuals Data; SEC Form 4 Filings (Insider Transaction Data); EQT Q1 2026 Earnings Call Transcript (April 21, 2026); AR Q1 2026 Earnings Call Transcript (April 30, 2026); RRC Q1 2026 Earnings Call Transcript (April 22, 2026); CHK/Expand Energy Q1 2026 Earnings Call Transcript (April 29, 2026); DVN Q1 2026 Earnings Call Transcript (May 6, 2026); DVN JP Morgan Natural Resources Conference Transcript (June 23, 2026); UBS Research (July 8, 2026); Jefferies Research (July 2, 2026); EIA Henry Hub Natural Gas Spot Price Data.</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