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EQT Corporation (EQT) — 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Company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EQT Corporation (NYSE: EQT)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Q2 2026 (Three months ended June 30,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Earnings Release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21, 2026 (after market close)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Conference Call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22, 2026 at 10:00 AM ET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Prepared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20, 2026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Sector / Sub-Sector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Energy — U.S. Natural Gas E&amp;P (Appalachian Basin)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Setup is mixed — consensus has been revised sharply lower since Q1 earnings, creating a potentially beatable bar on EPS, but the bigger swing factor is free cash flow, where Q2 is the peak capex quarter and gas prices moderated into spring; the wildcard is whether the Middle East conflict and oil-price spike translate into a meaningful natural gas demand/price tailwind before quarter-end.</w:t>
      </w:r>
    </w:p>
    <w:p>
      <w:r>
        <w:rPr>
          <w:rFonts w:ascii="Calibri" w:hAnsi="Calibri"/>
          <w:color w:val="525866"/>
          <w:sz w:val="22"/>
        </w:rPr>
        <w:t xml:space="preserve">Heading into Q2 2026 results, EQT faces a nuanced setup. The consensus EPS estimate has been revised down sharply — from $0.56 at the time of Q1 earnings (April 21) to $0.41 today — reflecting the seasonal shoulder-season price weakness and the company's own guidance embedding 10–15 Bcfe of strategic curtailments. Management guided Q2 as the </w:t>
      </w:r>
      <w:r>
        <w:rPr>
          <w:rFonts w:ascii="Calibri" w:hAnsi="Calibri"/>
          <w:b/>
          <w:color w:val="525866"/>
          <w:sz w:val="22"/>
        </w:rPr>
        <w:t>peak capex quarter</w:t>
      </w:r>
      <w:r>
        <w:rPr>
          <w:rFonts w:ascii="Calibri" w:hAnsi="Calibri"/>
          <w:color w:val="525866"/>
          <w:sz w:val="22"/>
        </w:rPr>
        <w:t xml:space="preserve"> of the year, with maintenance plus growth CapEx of $735–$830 million, which will weigh on free cash flow relative to the record $1.83 billion generated in Q1. That said, EQT entered Q2 with its hedge book </w:t>
      </w:r>
      <w:r>
        <w:rPr>
          <w:rFonts w:ascii="Calibri" w:hAnsi="Calibri"/>
          <w:b/>
          <w:color w:val="525866"/>
          <w:sz w:val="22"/>
        </w:rPr>
        <w:t>in the money by $180 million</w:t>
      </w:r>
      <w:r>
        <w:rPr>
          <w:rFonts w:ascii="Calibri" w:hAnsi="Calibri"/>
          <w:color w:val="525866"/>
          <w:sz w:val="22"/>
        </w:rPr>
        <w:t xml:space="preserve"> (as of Q1 earnings), providing meaningful downside protection; the July 14 8-K confirmed $76 million in net NYMEX cash settlements received and a $45 million total derivative gain for Q2, offering an early positive read. The stock has underperformed materially since Q1 earnings — down ~14% vs. XLE +4% and S&amp;P 500 +5% — suggesting the market has already priced in a weaker quarter, which lowers the bar for a positive surprise. The single biggest wildcard is the escalating U.S.-Iran conflict: oil above $90/bbl and disruption to Strait of Hormuz flows could accelerate LNG demand pull and strengthen Appalachian basis, directly benefiting EQT's unhedged exposure and its strategic LNG portfolio narrative.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Consensus sets a low bar on EPS ($0.41 vs. $2.33 in Q1 2026), reflecting peak capex and shoulder-season pricing; free cash flow is the bigger swing factor given the hedge book and curtailment strategy, with consensus at ~$279M vs. Q1's record $1.95B.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Current Quarter Snapshot (Q2 2026 Key KPIs)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Last Quarter Actual (Q1 2026)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Prior Year Period (Q2 2025)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Guidance (Midpoint)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(%Δ)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EPS — Diluted Operating ($/share)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$2.33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$0.45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$0.41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−9%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— not provided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Gas Equivalent Production (Mmcfe/d)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6,863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6,244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6,654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~6,304–6,849 Mmcfe/d (570–620 Bcfe / 91 days)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~+0.1% (at midpoint)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Adjusted EBITDA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$2,679M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$1,158M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$1,122M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−3%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— not provided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Free Cash Flow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$1,945M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$340M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$279M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−18%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— not provided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Capital Expenditures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$599M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$550M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$764M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$735–$830M (midpoint ~$783M)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−2.4%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 xml:space="preserve">Source: Visible Alpha Consensus and Actuals Data. EPS — Diluted — Operating($): </w:t>
      </w:r>
      <w:r>
        <w:rPr>
          <w:rFonts w:ascii="Calibri" w:hAnsi="Calibri"/>
          <w:i/>
          <w:color w:val="525866"/>
          <w:sz w:val="22"/>
        </w:rPr>
        <w:t>https://insights.visiblealpha.com/mex/EQT_US/NMV/IS</w:t>
      </w:r>
      <w:r>
        <w:rPr>
          <w:rFonts w:ascii="Calibri" w:hAnsi="Calibri"/>
          <w:i/>
          <w:color w:val="525866"/>
          <w:sz w:val="22"/>
        </w:rPr>
        <w:t xml:space="preserve">. Gas equivalent production per day (Mmcfe): </w:t>
      </w:r>
      <w:r>
        <w:rPr>
          <w:rFonts w:ascii="Calibri" w:hAnsi="Calibri"/>
          <w:i/>
          <w:color w:val="525866"/>
          <w:sz w:val="22"/>
        </w:rPr>
        <w:t>https://insights.visiblealpha.com/mex/EQT_US/NMV/PP</w:t>
      </w:r>
      <w:r>
        <w:rPr>
          <w:rFonts w:ascii="Calibri" w:hAnsi="Calibri"/>
          <w:i/>
          <w:color w:val="525866"/>
          <w:sz w:val="22"/>
        </w:rPr>
        <w:t xml:space="preserve">. EBITDA — Operating: </w:t>
      </w:r>
      <w:r>
        <w:rPr>
          <w:rFonts w:ascii="Calibri" w:hAnsi="Calibri"/>
          <w:i/>
          <w:color w:val="525866"/>
          <w:sz w:val="22"/>
        </w:rPr>
        <w:t>https://insights.visiblealpha.com/mex/EQT_US/NMV/IS</w:t>
      </w:r>
      <w:r>
        <w:rPr>
          <w:rFonts w:ascii="Calibri" w:hAnsi="Calibri"/>
          <w:i/>
          <w:color w:val="525866"/>
          <w:sz w:val="22"/>
        </w:rPr>
        <w:t xml:space="preserve">. Free cash flow &amp; Capital expenditures: </w:t>
      </w:r>
      <w:r>
        <w:rPr>
          <w:rFonts w:ascii="Calibri" w:hAnsi="Calibri"/>
          <w:i/>
          <w:color w:val="525866"/>
          <w:sz w:val="22"/>
        </w:rPr>
        <w:t>https://insights.visiblealpha.com/mex/EQT_US/NMV/CF</w:t>
      </w:r>
      <w:r>
        <w:rPr>
          <w:rFonts w:ascii="Calibri" w:hAnsi="Calibri"/>
          <w:i/>
          <w:color w:val="525866"/>
          <w:sz w:val="22"/>
        </w:rPr>
        <w:t>. Q2 2026 guidance from EQT Q1 2026 Earnings Release (April 21, 2026).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Quarters, Top 2 KPIs)</w:t>
      </w:r>
    </w:p>
    <w:p>
      <w:pPr>
        <w:pStyle w:val="Heading4"/>
      </w:pPr>
      <w:r>
        <w:rPr>
          <w:rFonts w:ascii="Calibri" w:hAnsi="Calibri"/>
          <w:b/>
          <w:color w:val="3B4259"/>
          <w:sz w:val="22"/>
        </w:rPr>
        <w:t>EPS — Diluted Operating ($/share)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$2.33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$2.05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+13.7%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$0.90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$0.77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+17.0%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$0.52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$0.40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+30.7%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$0.45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$0.44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$1.18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$1.06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+11.5%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$0.50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+39.3%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$0.16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$0.06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+183.3%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-$0.08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-$0.18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+55.6%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pPr>
        <w:pStyle w:val="Heading4"/>
      </w:pPr>
      <w:r>
        <w:rPr>
          <w:rFonts w:ascii="Calibri" w:hAnsi="Calibri"/>
          <w:b/>
          <w:color w:val="3B4259"/>
          <w:sz w:val="22"/>
        </w:rPr>
        <w:t>Gas Equivalent Production (Mmcfe/d)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 (Mmcfe/d)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(Mmcfe/d)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6,863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6,621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6,619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6,487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6,896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6,743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6,244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6,148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6,342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6,239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6,578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6,346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6,320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5,873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+7.6%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5,577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5,307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EQT has beaten consensus on both EPS and production in each of the last 8 quarters, with production beats consistently in the +2–8% range — a strong track record that suggests the Q2 guidance midpoint may again prove conservative, particularly given the company's history of operational outperformance.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Guidance is unchanged since Q1 earnings (April 21, 2026) — no post-earnings 8-K or conference update has revised the numbers. Management tone was constructive: they characterized the business as "humming" and indicated they were "at least at midpoint of guide" through Q1, with any full-year update expected at midyear.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 Call, Apr 21)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Total Sales Volume (Bcfe)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570–620 Bcfe (incl. 10–15 Bcfe strategic curtailments)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~605 Bcfe implied (6,654 Mmcfe/d × 91 days)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consensus near midpoint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Maintenance CapEx ($M)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$525–$595M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$764M total CapEx (consensus)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Q2 is peak capex quarter per mgmt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Growth CapEx ($M)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$210–$235M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Included in total CapEx above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H2 capex expected to decline meaningfully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Avg. Differential (incl. basis hedges, $/Mcf)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($0.75)–($0.65)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— not tracked separately in VA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Total Operating Costs ($/Mcfe)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$1.03–$1.17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— not tracked separately in VA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Q1 came in 2% below low end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Total Sales Volume (Bcfe)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2,275– 2,375 Bcfe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~2,381 Bcfe implied (6,521 Mmcfe/d × 365 days)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mgmt noted "at least at midpoint" through Q1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Maintenance CapEx ($M)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$2,070–$2,210M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~$2,705M total (consensus, incl. growth)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 xml:space="preserve">Source: EQT Q1 2026 Earnings Release (April 21, 2026) and Q1 2026 Earnings Call Transcript (April 22, 2026). Visible Alpha Consensus and Actuals Data: </w:t>
      </w:r>
      <w:r>
        <w:rPr>
          <w:rFonts w:ascii="Calibri" w:hAnsi="Calibri"/>
          <w:i/>
          <w:color w:val="525866"/>
          <w:sz w:val="22"/>
        </w:rPr>
        <w:t>https://insights.visiblealpha.com/mex/EQT_US/NMV/CF</w:t>
      </w:r>
      <w:r>
        <w:rPr>
          <w:rFonts w:ascii="Calibri" w:hAnsi="Calibri"/>
          <w:i/>
          <w:color w:val="525866"/>
          <w:sz w:val="22"/>
        </w:rPr>
        <w:t xml:space="preserve">; </w:t>
      </w:r>
      <w:r>
        <w:rPr>
          <w:rFonts w:ascii="Calibri" w:hAnsi="Calibri"/>
          <w:i/>
          <w:color w:val="525866"/>
          <w:sz w:val="22"/>
        </w:rPr>
        <w:t>https://insights.visiblealpha.com/mex/EQT_US/NMV/PP</w:t>
      </w:r>
      <w:r>
        <w:rPr>
          <w:rFonts w:ascii="Calibri" w:hAnsi="Calibri"/>
          <w:i/>
          <w:color w:val="525866"/>
          <w:sz w:val="22"/>
        </w:rPr>
        <w:t>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Estimates for Q2 2026 have been revised down ~26% on EPS and ~26% on free cash flow since Q1 earnings, tracking the seasonal price weakness and peak-capex guidance. Full-year estimates have also drifted lower (~9% on EPS, ~8% on FCF), suggesting the Street is not yet pricing in a meaningful H2 recovery despite management's confidence in back-half free cash flow acceleration.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at Last Earnings +5 Days (Apr 28,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 (Jul 20,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(Last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(%)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EPS — Diluted Operating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$0.56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$0.41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−26.8%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Gas Equiv. Production (Q2 2026, Mmcfe/d)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6,603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6,654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+0.8%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570–620 Bcfe (~6,304–6,849 Mmcfe/d)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~+0.1% vs. midpoint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EBITDA (Q2 2026, $M)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$1,270M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$1,122M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−11.6%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Free Cash Flow (Q2 2026, $M)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$376M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$279M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−25.8%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CapEx (Q2 2026, $M)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$783M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$764M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−2.4%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$735–$830M (midpoint ~$783M)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−2.4% vs. midpoint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EPS — Diluted Operating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$4.80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$4.34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−9.6%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Free Cash Flow (FY 2026, $M)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$3,931M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$3,621M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−7.9%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EBITDA (FY 2026, $M)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$6,999M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$6,633M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−5.2%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The sharp downward revision in Q2 EPS and FCF estimates since Q1 earnings reflects the market pricing in the seasonal trough — peak capex, shoulder-season gas prices, and strategic curtailments. However, the July 14 8-K pre-announcement of $73M in net derivative cash settlements and a $45M total derivative gain provides a partial offset and suggests the FCF miss vs. Q1 may be less severe than feared. Production estimates have been stable, consistent with guidance.</w:t>
      </w:r>
    </w:p>
    <w:p>
      <w:r>
        <w:rPr>
          <w:rFonts w:ascii="Calibri" w:hAnsi="Calibri"/>
          <w:i/>
          <w:color w:val="525866"/>
          <w:sz w:val="22"/>
        </w:rPr>
        <w:t xml:space="preserve">Source: Visible Alpha Consensus and Actuals Data (as-of date April 28, 2026 and latest). EPS — Diluted — Operating($): </w:t>
      </w:r>
      <w:r>
        <w:rPr>
          <w:rFonts w:ascii="Calibri" w:hAnsi="Calibri"/>
          <w:i/>
          <w:color w:val="525866"/>
          <w:sz w:val="22"/>
        </w:rPr>
        <w:t>https://insights.visiblealpha.com/mex/EQT_US/NMV/IS</w:t>
      </w:r>
      <w:r>
        <w:rPr>
          <w:rFonts w:ascii="Calibri" w:hAnsi="Calibri"/>
          <w:i/>
          <w:color w:val="525866"/>
          <w:sz w:val="22"/>
        </w:rPr>
        <w:t xml:space="preserve">. Free cash flow &amp; CapEx: </w:t>
      </w:r>
      <w:r>
        <w:rPr>
          <w:rFonts w:ascii="Calibri" w:hAnsi="Calibri"/>
          <w:i/>
          <w:color w:val="525866"/>
          <w:sz w:val="22"/>
        </w:rPr>
        <w:t>https://insights.visiblealpha.com/mex/EQT_US/NMV/CF</w:t>
      </w:r>
      <w:r>
        <w:rPr>
          <w:rFonts w:ascii="Calibri" w:hAnsi="Calibri"/>
          <w:i/>
          <w:color w:val="525866"/>
          <w:sz w:val="22"/>
        </w:rPr>
        <w:t xml:space="preserve">. Gas equivalent production: </w:t>
      </w:r>
      <w:r>
        <w:rPr>
          <w:rFonts w:ascii="Calibri" w:hAnsi="Calibri"/>
          <w:i/>
          <w:color w:val="525866"/>
          <w:sz w:val="22"/>
        </w:rPr>
        <w:t>https://insights.visiblealpha.com/mex/EQT_US/NMV/PP</w:t>
      </w:r>
      <w:r>
        <w:rPr>
          <w:rFonts w:ascii="Calibri" w:hAnsi="Calibri"/>
          <w:i/>
          <w:color w:val="525866"/>
          <w:sz w:val="22"/>
        </w:rPr>
        <w:t xml:space="preserve">. EBITDA: </w:t>
      </w:r>
      <w:r>
        <w:rPr>
          <w:rFonts w:ascii="Calibri" w:hAnsi="Calibri"/>
          <w:i/>
          <w:color w:val="525866"/>
          <w:sz w:val="22"/>
        </w:rPr>
        <w:t>https://insights.visiblealpha.com/mex/EQT_US/NMV/IS</w:t>
      </w:r>
      <w:r>
        <w:rPr>
          <w:rFonts w:ascii="Calibri" w:hAnsi="Calibri"/>
          <w:i/>
          <w:color w:val="525866"/>
          <w:sz w:val="22"/>
        </w:rPr>
        <w:t>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EQT has underperformed sharply since Q1 earnings — down ~14% vs. XLE +4% and S&amp;P 500 +5% — driven almost entirely by multiple compression (EV/EBITDA contracted ~11% over 3 months) as gas prices moderated into the shoulder season; the stock's underperformance vs. XLE is notable given the energy sector's tailwind from the Middle East conflict.</w:t>
      </w:r>
    </w:p>
    <w:p>
      <w:r>
        <w:drawing>
          <wp:inline xmlns:a="http://schemas.openxmlformats.org/drawingml/2006/main" xmlns:pic="http://schemas.openxmlformats.org/drawingml/2006/picture">
            <wp:extent cx="4572000" cy="3265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6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EQT vs. XLE (Energy Sector ETF) vs. S&amp;P 500 — Indexed to 100 at Q1 2026 Earnings Date (April 21, 2026). Source: Stock Price Data (Yahoo Finance).</w:t>
      </w:r>
    </w:p>
    <w:p>
      <w:r>
        <w:rPr>
          <w:rFonts w:ascii="Calibri" w:hAnsi="Calibri"/>
          <w:color w:val="525866"/>
          <w:sz w:val="22"/>
        </w:rPr>
        <w:t xml:space="preserve">Since Q1 2026 earnings (April 21, 2026), EQT has declined approximately 14% to ~$49, while the XLE energy ETF has gained ~4% and the S&amp;P 500 has risen ~5%. The divergence is striking: the energy sector has benefited from the U.S.-Iran conflict driving oil above $90/bbl, but EQT — as a pure-play natural gas producer — has not participated in the oil-price rally. Instead, the stock has been weighed down by: (1) </w:t>
      </w:r>
      <w:r>
        <w:rPr>
          <w:rFonts w:ascii="Calibri" w:hAnsi="Calibri"/>
          <w:b/>
          <w:color w:val="525866"/>
          <w:sz w:val="22"/>
        </w:rPr>
        <w:t>seasonal gas price weakness</w:t>
      </w:r>
      <w:r>
        <w:rPr>
          <w:rFonts w:ascii="Calibri" w:hAnsi="Calibri"/>
          <w:color w:val="525866"/>
          <w:sz w:val="22"/>
        </w:rPr>
        <w:t xml:space="preserve"> into the shoulder season, (2) the </w:t>
      </w:r>
      <w:r>
        <w:rPr>
          <w:rFonts w:ascii="Calibri" w:hAnsi="Calibri"/>
          <w:b/>
          <w:color w:val="525866"/>
          <w:sz w:val="22"/>
        </w:rPr>
        <w:t>peak capex quarter</w:t>
      </w:r>
      <w:r>
        <w:rPr>
          <w:rFonts w:ascii="Calibri" w:hAnsi="Calibri"/>
          <w:color w:val="525866"/>
          <w:sz w:val="22"/>
        </w:rPr>
        <w:t xml:space="preserve"> narrative compressing near-term FCF expectations, and (3) </w:t>
      </w:r>
      <w:r>
        <w:rPr>
          <w:rFonts w:ascii="Calibri" w:hAnsi="Calibri"/>
          <w:b/>
          <w:color w:val="525866"/>
          <w:sz w:val="22"/>
        </w:rPr>
        <w:t>estimate revisions lower</w:t>
      </w:r>
      <w:r>
        <w:rPr>
          <w:rFonts w:ascii="Calibri" w:hAnsi="Calibri"/>
          <w:color w:val="525866"/>
          <w:sz w:val="22"/>
        </w:rPr>
        <w:t xml:space="preserve"> across EPS, EBITDA, and FCF. The 3-month EV/EBITDA multiple has contracted ~11% (from 6.86x to 6.13x), confirming that the underperformance is multiple-driven rather than earnings-driven. At current levels, the stock trades at 8.4x NTM P/FCF — near the low end of its recent range — suggesting limited downside if Q2 results are in line and management reaffirms H2 free cash flow acceleration.</w:t>
      </w:r>
    </w:p>
    <w:p>
      <w:r>
        <w:rPr>
          <w:rFonts w:ascii="Calibri" w:hAnsi="Calibri"/>
          <w:color w:val="525866"/>
          <w:sz w:val="22"/>
        </w:rPr>
        <w:t>Source: Stock Price Data (Yahoo Finance). Sector ETF: XLE (SPDR Energy Select Sector ETF), appropriate for EQT's E&amp;P sub-sector.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The most important development since Q1 earnings is the July 14 8-K pre-announcement of Q2 derivative gains and cash settlements, which provides an early positive read on hedging performance; the escalating U.S.-Iran conflict and oil above $90/bbl is the macro wildcard with the most direct read-through to EQT's LNG strategy and Appalachian basis.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14, 2026 — EQT Q2 2026 Derivative Pre-Announcement (8-K):</w:t>
      </w:r>
      <w:r>
        <w:rPr>
          <w:rFonts w:ascii="Calibri" w:hAnsi="Calibri"/>
          <w:color w:val="525866"/>
          <w:sz w:val="22"/>
        </w:rPr>
        <w:t xml:space="preserve"> EQT disclosed a $45M total gain on derivatives and $73M in net cash settlements received ($76M on NYMEX natural gas hedges, -$3M on basis/liquids) for Q2 2026. These are preliminary and subject to change. </w:t>
      </w:r>
      <w:r>
        <w:rPr>
          <w:rFonts w:ascii="Calibri" w:hAnsi="Calibri"/>
          <w:b/>
          <w:color w:val="525866"/>
          <w:sz w:val="22"/>
        </w:rPr>
        <w:t>Implication:</w:t>
      </w:r>
      <w:r>
        <w:rPr>
          <w:rFonts w:ascii="Calibri" w:hAnsi="Calibri"/>
          <w:color w:val="525866"/>
          <w:sz w:val="22"/>
        </w:rPr>
        <w:t xml:space="preserve"> Positive read — confirms the hedge book provided meaningful downside protection during the shoulder season; $73M in cash settlements will support Q2 FCF above what unhedged gas prices alone would imply.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7–20, 2026 — U.S.-Iran Conflict Escalation / Oil Above $90/bbl:</w:t>
      </w:r>
      <w:r>
        <w:rPr>
          <w:rFonts w:ascii="Calibri" w:hAnsi="Calibri"/>
          <w:color w:val="525866"/>
          <w:sz w:val="22"/>
        </w:rPr>
        <w:t xml:space="preserve"> The U.S. military has conducted multiple rounds of strikes on Iran; the Strait of Hormuz has seen severely reduced tanker traffic (14 ships vs. 37 a week prior per Kpler). Brent crude crossed $90/bbl for the first time since mid-June. </w:t>
      </w:r>
      <w:r>
        <w:rPr>
          <w:rFonts w:ascii="Calibri" w:hAnsi="Calibri"/>
          <w:b/>
          <w:color w:val="525866"/>
          <w:sz w:val="22"/>
        </w:rPr>
        <w:t>Implication:</w:t>
      </w:r>
      <w:r>
        <w:rPr>
          <w:rFonts w:ascii="Calibri" w:hAnsi="Calibri"/>
          <w:color w:val="525866"/>
          <w:sz w:val="22"/>
        </w:rPr>
        <w:t xml:space="preserve"> Bullish for EQT's LNG narrative and Appalachian basis. Tighter global LNG markets reinforce the strategic value of EQT's post-2030 LNG portfolio. Near-term, higher oil prices could accelerate gas-to-oil switching and support Henry Hub prices into H2 2026.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13, 2026 — Williams Companies (WMB) Secures $5.34B JV Financing for Power Innovation Projects:</w:t>
      </w:r>
      <w:r>
        <w:rPr>
          <w:rFonts w:ascii="Calibri" w:hAnsi="Calibri"/>
          <w:color w:val="525866"/>
          <w:sz w:val="22"/>
        </w:rPr>
        <w:t xml:space="preserve"> WMB announced Blackstone, Apollo, and KKR will provide $5.34B for a 49% noncontrolling stake in five behind-the-meter power infrastructure projects. </w:t>
      </w:r>
      <w:r>
        <w:rPr>
          <w:rFonts w:ascii="Calibri" w:hAnsi="Calibri"/>
          <w:b/>
          <w:color w:val="525866"/>
          <w:sz w:val="22"/>
        </w:rPr>
        <w:t>Implication:</w:t>
      </w:r>
      <w:r>
        <w:rPr>
          <w:rFonts w:ascii="Calibri" w:hAnsi="Calibri"/>
          <w:color w:val="525866"/>
          <w:sz w:val="22"/>
        </w:rPr>
        <w:t xml:space="preserve"> Validates the scale of capital flowing into Appalachian gas-fired power infrastructure — directly supportive of EQT's thesis that power demand growth in Appalachia will pull incremental volumes and strengthen basis.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2, 2026 — EQT Schedules Q2 2026 Earnings Release:</w:t>
      </w:r>
      <w:r>
        <w:rPr>
          <w:rFonts w:ascii="Calibri" w:hAnsi="Calibri"/>
          <w:color w:val="525866"/>
          <w:sz w:val="22"/>
        </w:rPr>
        <w:t xml:space="preserve"> EQT confirmed results will be released after market close on July 21, 2026, with a conference call on July 22 at 10:00 AM ET.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27, 2026 — Kinder Morgan (KMI) Bernstein Conference Commentary:</w:t>
      </w:r>
      <w:r>
        <w:rPr>
          <w:rFonts w:ascii="Calibri" w:hAnsi="Calibri"/>
          <w:color w:val="525866"/>
          <w:sz w:val="22"/>
        </w:rPr>
        <w:t xml:space="preserve"> KMI CEO Kimberly Dang stated that Marcellus-Utica is "the most competitive supply out there" from a dry gas perspective but that "the constraint on the Marcellus-Utica growth is really pipeline capacity out." KMI projects 26 Bcf/d of incremental U.S. gas demand by 2030 (LNG +18 Bcf, power +5 Bcf). </w:t>
      </w:r>
      <w:r>
        <w:rPr>
          <w:rFonts w:ascii="Calibri" w:hAnsi="Calibri"/>
          <w:b/>
          <w:color w:val="525866"/>
          <w:sz w:val="22"/>
        </w:rPr>
        <w:t>Implication:</w:t>
      </w:r>
      <w:r>
        <w:rPr>
          <w:rFonts w:ascii="Calibri" w:hAnsi="Calibri"/>
          <w:color w:val="525866"/>
          <w:sz w:val="22"/>
        </w:rPr>
        <w:t xml:space="preserve"> Confirms EQT's core thesis on Appalachian supply competitiveness and the need for new egress infrastructure (MVP Boost, Southeast Supply Enhancement). KMI's $10B approved project backlog (60% power demand, 20% LNG) underscores the infrastructure investment cycle that benefits EQT's midstream growth strategy.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15, 2026 — MISO Emergency Energy Alert / Power Grid Stress:</w:t>
      </w:r>
      <w:r>
        <w:rPr>
          <w:rFonts w:ascii="Calibri" w:hAnsi="Calibri"/>
          <w:color w:val="525866"/>
          <w:sz w:val="22"/>
        </w:rPr>
        <w:t xml:space="preserve"> The Midwest grid operator issued an emergency energy alert as sweltering temperatures drove spot wholesale electricity prices above $900/MWh at Michigan hubs. </w:t>
      </w:r>
      <w:r>
        <w:rPr>
          <w:rFonts w:ascii="Calibri" w:hAnsi="Calibri"/>
          <w:b/>
          <w:color w:val="525866"/>
          <w:sz w:val="22"/>
        </w:rPr>
        <w:t>Implication:</w:t>
      </w:r>
      <w:r>
        <w:rPr>
          <w:rFonts w:ascii="Calibri" w:hAnsi="Calibri"/>
          <w:color w:val="525866"/>
          <w:sz w:val="22"/>
        </w:rPr>
        <w:t xml:space="preserve"> Reinforces the power demand bull case for natural gas; extreme heat events stress the grid and highlight the need for reliable gas-fired generation — a key demand driver for EQT's Appalachian volumes.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10, 2026 — Range Resources (RRC) Q2 2026 Derivative Pre-Announcement (8-K):</w:t>
      </w:r>
      <w:r>
        <w:rPr>
          <w:rFonts w:ascii="Calibri" w:hAnsi="Calibri"/>
          <w:color w:val="525866"/>
          <w:sz w:val="22"/>
        </w:rPr>
        <w:t xml:space="preserve"> RRC disclosed a $73.5M total gain on derivatives and $35.3M in net cash settlements for Q2 2026 ($51M on natural gas, $1.8M on basis, -$10.3M on oil, -$7.2M on NGLs). </w:t>
      </w:r>
      <w:r>
        <w:rPr>
          <w:rFonts w:ascii="Calibri" w:hAnsi="Calibri"/>
          <w:b/>
          <w:color w:val="525866"/>
          <w:sz w:val="22"/>
        </w:rPr>
        <w:t>Implication:</w:t>
      </w:r>
      <w:r>
        <w:rPr>
          <w:rFonts w:ascii="Calibri" w:hAnsi="Calibri"/>
          <w:color w:val="525866"/>
          <w:sz w:val="22"/>
        </w:rPr>
        <w:t xml:space="preserve"> Peer read-through — confirms Appalachian producers broadly benefited from their hedge books in Q2 despite shoulder-season price weakness.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Peer Commentary &amp; Read-Through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Peer commentary since Q1 earnings is uniformly constructive for EQT's Q2 setup and forward thesis: Appalachian producers broadly benefited from hedge books in Q2 (RRC pre-announcement), midstream infrastructure investment is accelerating (WMB $5.34B JV), and the structural demand outlook for Appalachian gas is strengthening (KMI 26 Bcf/d demand growth forecast, power grid stress events). All commentary below is strictly from the May 21–July 20, 2026 window and addresses Q2 2026 or forward periods.</w:t>
      </w:r>
    </w:p>
    <w:p>
      <w:r>
        <w:rPr>
          <w:rFonts w:ascii="Calibri" w:hAnsi="Calibri"/>
          <w:i/>
          <w:color w:val="525866"/>
          <w:sz w:val="22"/>
        </w:rPr>
        <w:t>Note: Only commentary made between May 21–July 20, 2026 that addresses Q2 2026 or forward periods is included below. Retrospective prior-quarter commentary has been excluded.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Kinder Morgan (KMI) — Bernstein Strategic Decisions Conference (May 27, 2026)</w:t>
      </w:r>
    </w:p>
    <w:p>
      <w:r>
        <w:rPr>
          <w:rFonts w:ascii="Calibri" w:hAnsi="Calibri"/>
          <w:i/>
          <w:color w:val="525866"/>
          <w:sz w:val="22"/>
        </w:rPr>
        <w:t>Relevance: Forward-looking demand and infrastructure commentary directly applicable to EQT's Appalachian positioning.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Demand Outlook (Forward):</w:t>
      </w:r>
      <w:r>
        <w:rPr>
          <w:rFonts w:ascii="Calibri" w:hAnsi="Calibri"/>
          <w:color w:val="525866"/>
          <w:sz w:val="22"/>
        </w:rPr>
        <w:t xml:space="preserve"> KMI projects U.S. natural gas demand to grow by </w:t>
      </w:r>
      <w:r>
        <w:rPr>
          <w:rFonts w:ascii="Calibri" w:hAnsi="Calibri"/>
          <w:b/>
          <w:color w:val="525866"/>
          <w:sz w:val="22"/>
        </w:rPr>
        <w:t>26 Bcf/d from 2025 to 2030</w:t>
      </w:r>
      <w:r>
        <w:rPr>
          <w:rFonts w:ascii="Calibri" w:hAnsi="Calibri"/>
          <w:color w:val="525866"/>
          <w:sz w:val="22"/>
        </w:rPr>
        <w:t xml:space="preserve"> (115 Bcf/d → 141 Bcf/d), driven by LNG (+18 Bcf/d) and power (+5 Bcf/d). CEO Dang noted the 2030 number is likely to move higher given power demand trends.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Directly validates EQT's LNG portfolio strategy (6 MMT post-2030 capacity) and the power demand bull case management upgraded to base case in Q1 2026.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Appalachian Constraint (Forward):</w:t>
      </w:r>
      <w:r>
        <w:rPr>
          <w:rFonts w:ascii="Calibri" w:hAnsi="Calibri"/>
          <w:color w:val="525866"/>
          <w:sz w:val="22"/>
        </w:rPr>
        <w:t xml:space="preserve"> KMI stated that Marcellus-Utica is "the most competitive supply out there" from a dry gas perspective but that "</w:t>
      </w:r>
      <w:r>
        <w:rPr>
          <w:rFonts w:ascii="Calibri" w:hAnsi="Calibri"/>
          <w:b/>
          <w:color w:val="525866"/>
          <w:sz w:val="22"/>
        </w:rPr>
        <w:t>the constraint on the Marcellus-Utica growth is really pipeline capacity out</w:t>
      </w:r>
      <w:r>
        <w:rPr>
          <w:rFonts w:ascii="Calibri" w:hAnsi="Calibri"/>
          <w:color w:val="525866"/>
          <w:sz w:val="22"/>
        </w:rPr>
        <w:t xml:space="preserve">." KMI called for permitting reform to unlock needed infrastructure.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Confirms EQT's strategic rationale for MVP Boost, Southeast Supply Enhancement, and Ohio market infrastructure projects. Incremental egress is the binding constraint — EQT's midstream growth investments are directly addressing this.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Capital Availability (Forward):</w:t>
      </w:r>
      <w:r>
        <w:rPr>
          <w:rFonts w:ascii="Calibri" w:hAnsi="Calibri"/>
          <w:color w:val="525866"/>
          <w:sz w:val="22"/>
        </w:rPr>
        <w:t xml:space="preserve"> KMI stated there is "unlimited capital for good risk-adjusted return projects" and that it can fund ~$3B annually from cash flow after dividends, with a $10B approved backlog (60% power demand, 20% LNG) and an additional $10B opportunity set.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The infrastructure investment cycle is well-funded and accelerating — supportive of EQT's midstream growth project pipeline and the contracted demand pull strategy.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E&amp;P Discipline (Forward):</w:t>
      </w:r>
      <w:r>
        <w:rPr>
          <w:rFonts w:ascii="Calibri" w:hAnsi="Calibri"/>
          <w:color w:val="525866"/>
          <w:sz w:val="22"/>
        </w:rPr>
        <w:t xml:space="preserve"> KMI noted E&amp;Ps are becoming "more disciplined in their investments" and "more flexible in terms of their ability to manage those wells and turn them on and off as they see shorter-term pricing."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Consistent with EQT's strategic curtailment approach in Q2 2026 (10–15 Bcfe curtailed) — the industry is broadly adopting the storage-in-the-ground philosophy that EQT has championed.</w:t>
      </w:r>
    </w:p>
    <w:p>
      <w:r>
        <w:rPr>
          <w:rFonts w:ascii="Calibri" w:hAnsi="Calibri"/>
          <w:i/>
          <w:color w:val="525866"/>
          <w:sz w:val="22"/>
        </w:rPr>
        <w:t>Source: KMI Bernstein Strategic Decisions Conference Transcript, May 27,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Range Resources (RRC) — Q2 2026 Derivative Pre-Announcement (July 10, 2026)</w:t>
      </w:r>
    </w:p>
    <w:p>
      <w:r>
        <w:rPr>
          <w:rFonts w:ascii="Calibri" w:hAnsi="Calibri"/>
          <w:i/>
          <w:color w:val="525866"/>
          <w:sz w:val="22"/>
        </w:rPr>
        <w:t>Relevance: Closest Appalachian peer; Q2 2026 derivative disclosure provides a direct read-through on hedging performance for the quarter.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Q2 2026 Derivative Performance:</w:t>
      </w:r>
      <w:r>
        <w:rPr>
          <w:rFonts w:ascii="Calibri" w:hAnsi="Calibri"/>
          <w:color w:val="525866"/>
          <w:sz w:val="22"/>
        </w:rPr>
        <w:t xml:space="preserve"> RRC disclosed a $73.5M total gain on derivatives and $35.3M in net cash settlements for Q2 2026 ($51M on natural gas, $1.8M on basis, -$10.3M on oil, -$7.2M on NGLs).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Confirms that Appalachian natural gas producers broadly benefited from their hedge books in Q2 despite shoulder-season price weakness. EQT's own pre-announcement ($73M net cash settlements, $45M total derivative gain) is directionally consistent and proportionally larger, reflecting EQT's greater scale and more aggressive hedging posture.</w:t>
      </w:r>
    </w:p>
    <w:p>
      <w:r>
        <w:rPr>
          <w:rFonts w:ascii="Calibri" w:hAnsi="Calibri"/>
          <w:i/>
          <w:color w:val="525866"/>
          <w:sz w:val="22"/>
        </w:rPr>
        <w:t>Source: RRC Form 8-K, July 10,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Williams Companies (WMB) — Power Innovation JV Financing (July 13, 2026)</w:t>
      </w:r>
    </w:p>
    <w:p>
      <w:r>
        <w:rPr>
          <w:rFonts w:ascii="Calibri" w:hAnsi="Calibri"/>
          <w:i/>
          <w:color w:val="525866"/>
          <w:sz w:val="22"/>
        </w:rPr>
        <w:t>Relevance: WMB is EQT's key midstream partner in Appalachia; the JV financing validates the scale of power infrastructure investment in the region.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Power Infrastructure JV (Forward):</w:t>
      </w:r>
      <w:r>
        <w:rPr>
          <w:rFonts w:ascii="Calibri" w:hAnsi="Calibri"/>
          <w:color w:val="525866"/>
          <w:sz w:val="22"/>
        </w:rPr>
        <w:t xml:space="preserve"> WMB secured $5.34B from Blackstone, Apollo, and KKR for a 49% noncontrolling stake in five behind-the-meter Power Innovation projects. WMB retains 51% and operational control. The commitment includes $4.4B representing 49% of expected growth CapEx.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This is a major validation of the Appalachian power demand thesis. WMB's ability to attract $5.34B from top-tier private equity firms for power infrastructure projects confirms that the capital markets are pricing in sustained, large-scale gas-fired power demand growth in the region — directly supportive of EQT's strategy to serve power demand domestically and its pipeline of data center and power plant partnerships (Homer City, Shippingport, NextEra 10 GW Pennsylvania project, Portsmouth Ohio 9+ GW project).</w:t>
      </w:r>
    </w:p>
    <w:p>
      <w:r>
        <w:rPr>
          <w:rFonts w:ascii="Calibri" w:hAnsi="Calibri"/>
          <w:i/>
          <w:color w:val="525866"/>
          <w:sz w:val="22"/>
        </w:rPr>
        <w:t>Source: WMB Form 8-K and Press Release, July 13,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Comstock Resources (CRK) — Midstream Unit Investment (June 16, 2026)</w:t>
      </w:r>
    </w:p>
    <w:p>
      <w:r>
        <w:rPr>
          <w:rFonts w:ascii="Calibri" w:hAnsi="Calibri"/>
          <w:i/>
          <w:color w:val="525866"/>
          <w:sz w:val="22"/>
        </w:rPr>
        <w:t>Relevance: Haynesville peer; midstream investment signals broader industry trend of integrated infrastructure development.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Midstream Investment (Forward):</w:t>
      </w:r>
      <w:r>
        <w:rPr>
          <w:rFonts w:ascii="Calibri" w:hAnsi="Calibri"/>
          <w:color w:val="525866"/>
          <w:sz w:val="22"/>
        </w:rPr>
        <w:t xml:space="preserve"> CRK secured a $600M investment for its midstream unit, using proceeds to reduce debt.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Confirms the trend of natural gas E&amp;Ps monetizing midstream assets to fund growth and deleveraging — consistent with EQT's own vertical integration strategy and the broader industry recognition that midstream infrastructure is a strategic asset. EQT's PipeBox LLC midstream JV structure (60% distributions to third-party noncontrolling interest) is a similar model.</w:t>
      </w:r>
    </w:p>
    <w:p>
      <w:r>
        <w:rPr>
          <w:rFonts w:ascii="Calibri" w:hAnsi="Calibri"/>
          <w:i/>
          <w:color w:val="525866"/>
          <w:sz w:val="22"/>
        </w:rPr>
        <w:t>Source: CRK Form 8-K, June 16,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Macro / Geopolitical Read-Through: U.S.-Iran Conflict &amp; LNG Markets</w:t>
      </w:r>
    </w:p>
    <w:p>
      <w:r>
        <w:rPr>
          <w:rFonts w:ascii="Calibri" w:hAnsi="Calibri"/>
          <w:i/>
          <w:color w:val="525866"/>
          <w:sz w:val="22"/>
        </w:rPr>
        <w:t>Relevance: The Middle East conflict has direct implications for global LNG demand and EQT's strategic positioning.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LNG Market Tightening (Forward):</w:t>
      </w:r>
      <w:r>
        <w:rPr>
          <w:rFonts w:ascii="Calibri" w:hAnsi="Calibri"/>
          <w:color w:val="525866"/>
          <w:sz w:val="22"/>
        </w:rPr>
        <w:t xml:space="preserve"> The U.S.-Iran conflict has severely disrupted Strait of Hormuz traffic (14 ships vs. 37 a week prior), driving Brent above $90/bbl and tightening global LNG markets. Citi noted the risk of Iran walking away from the U.S.-Iran MOU until after mid-term elections, which would sustain higher-for-longer oil and LNG prices.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Directly validates EQT's LNG portfolio strategy. Management noted at Q1 earnings that if the LNG portfolio were fully online today, EQT's 2026 FCF would be ~$6B (vs. current consensus of ~$3.6B). The geopolitical shock reinforces the strategic value of U.S. LNG supply reliability and accelerates the timeline for EQT's post-2030 LNG offtake agreements.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Baker Hughes (BKR) — Chart Acquisition Completion (July 16, 2026):</w:t>
      </w:r>
      <w:r>
        <w:rPr>
          <w:rFonts w:ascii="Calibri" w:hAnsi="Calibri"/>
          <w:color w:val="525866"/>
          <w:sz w:val="22"/>
        </w:rPr>
        <w:t xml:space="preserve"> BKR completed its acquisition of Chart Industries, securing $2B in new term loans. Chart is a major LNG equipment manufacturer. </w:t>
      </w:r>
      <w:r>
        <w:rPr>
          <w:rFonts w:ascii="Calibri" w:hAnsi="Calibri"/>
          <w:b/>
          <w:color w:val="525866"/>
          <w:sz w:val="22"/>
        </w:rPr>
        <w:t>EQT Read-Through:</w:t>
      </w:r>
      <w:r>
        <w:rPr>
          <w:rFonts w:ascii="Calibri" w:hAnsi="Calibri"/>
          <w:color w:val="525866"/>
          <w:sz w:val="22"/>
        </w:rPr>
        <w:t xml:space="preserve"> Signals continued investment in LNG infrastructure capacity — supportive of the LNG buildout timeline that underpins EQT's post-2030 offtake strategy.</w:t>
      </w:r>
    </w:p>
    <w:p>
      <w:r>
        <w:rPr>
          <w:rFonts w:ascii="Calibri" w:hAnsi="Calibri"/>
          <w:i/>
          <w:color w:val="525866"/>
          <w:sz w:val="22"/>
        </w:rPr>
        <w:t>Sources: News Digest (Reuters, WSJ, CNBC, Bloomberg), July 7–20, 2026. BKR Form 8-K, July 16, 2026.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No open-market insider transactions (Form 4 codes P/S) were identified for EQT in the period since Q1 2026 earnings (April 21, 2026) through the preparation date (July 20, 2026). The absence of insider selling ahead of earnings is a neutral-to-slightly-positive signal; there are no clustered buys or unusual sales to flag.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Value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No open-market insider transactions identified for EQT in the Apr 21 – Jul 20, 2026 window.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SEC Form 4 filings (open-market transactions, codes P/S) and Form 144 filings reviewed for EQT Corporation (NYSE: EQT) for the period April 21, 2026 through July 20, 2026. No qualifying transactions were identified.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Appendix: Key Valuation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(NTM)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3 Months Ago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12 Months Ago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Change (3M)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EV / EBITDA (NTM)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6.13x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6.86x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7.12x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−10.6%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P / FCF (NTM)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8.44x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9.69x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10.31x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−12.9%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P / Earnings (NTM)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11.59x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12.72x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12.80x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−8.9%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EV / Sales (NTM)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4.42x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4.93x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5.20x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−10.2%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P / Book Value (NTM)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1.15x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1.37x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1.51x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−15.8%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Stock Performance Decomposition Data (NTM consensus multiples, trading-day windows). Snapshot date: July 20, 2026.</w:t>
      </w:r>
    </w:p>
    <w:p>
      <w:r>
        <w:rPr>
          <w:rFonts w:ascii="Calibri" w:hAnsi="Calibri"/>
          <w:b/>
          <w:color w:val="525866"/>
          <w:sz w:val="22"/>
        </w:rPr>
        <w:t xml:space="preserve">Preferred valuation metric for EQT: </w:t>
      </w:r>
      <w:r>
        <w:rPr>
          <w:rFonts w:ascii="Calibri" w:hAnsi="Calibri"/>
          <w:color w:val="525866"/>
          <w:sz w:val="22"/>
        </w:rPr>
        <w:t>EV/EBITDA (primary) and P/FCF (secondary), consistent with E&amp;P sector convention. The current 6.13x NTM EV/EBITDA represents a meaningful discount to the 12-month average of ~6.9x, suggesting the stock is pricing in continued weakness rather than the H2 FCF acceleration management has guided toward.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