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Let me check a couple more things — the year-ago Q2 numbers for comparison and any recent healthcare/TAVR policy news.Let me grab the year-ago Q2 2025 figures for comparison context.# Edwards Lifesciences (EW) — Q2 2026 Earnings Preview</w:t>
      </w:r>
      <w:r>
        <w:t xml:space="preserve"> </w:t>
      </w:r>
      <w:r>
        <w:rPr>
          <w:i/>
          <w:iCs/>
        </w:rPr>
        <w:t xml:space="preserve">Reports after market close, Thursday, July 23, 2026 · Conference call 2:00 p.m. PT</w:t>
      </w:r>
    </w:p>
    <w:bookmarkStart w:id="9" w:name="the-setup-in-one-line"/>
    <w:p>
      <w:pPr>
        <w:pStyle w:val="Heading2"/>
      </w:pPr>
      <w:r>
        <w:t xml:space="preserve">The setup in one line</w:t>
      </w:r>
    </w:p>
    <w:p>
      <w:pPr>
        <w:pStyle w:val="FirstParagraph"/>
      </w:pPr>
      <w:r>
        <w:t xml:space="preserve">Edwards enters this print with momentum and a raised bar. Q1 was a clean beat-and-raise (12.7% underlying growth), and management repeatedly flagged that the</w:t>
      </w:r>
      <w:r>
        <w:t xml:space="preserve"> </w:t>
      </w:r>
      <w:r>
        <w:rPr>
          <w:b/>
          <w:bCs/>
        </w:rPr>
        <w:t xml:space="preserve">year-over-year comparisons get tougher in the second half of 2026</w:t>
      </w:r>
      <w:r>
        <w:t xml:space="preserve"> </w:t>
      </w:r>
      <w:r>
        <w:t xml:space="preserve">because 2025's back half was so strong. Q2 is the first quarter of that harder comp — and the first earnings call for a</w:t>
      </w:r>
      <w:r>
        <w:t xml:space="preserve"> </w:t>
      </w:r>
      <w:r>
        <w:rPr>
          <w:b/>
          <w:bCs/>
        </w:rPr>
        <w:t xml:space="preserve">new CFO</w:t>
      </w:r>
      <w:r>
        <w:t xml:space="preserve">. The debate is less about whether numbers are "fine" and more about whether the TAVR reacceleration and TMTT surge can sustain, and whether guidance gets raised again.</w:t>
      </w:r>
    </w:p>
    <w:p>
      <w:r>
        <w:pict>
          <v:rect style="width:0;height:1.5pt" o:hralign="center" o:hrstd="t" o:hr="t"/>
        </w:pict>
      </w:r>
    </w:p>
    <w:bookmarkEnd w:id="9"/>
    <w:bookmarkStart w:id="10" w:name="what-management-guided-for-q2"/>
    <w:p>
      <w:pPr>
        <w:pStyle w:val="Heading2"/>
      </w:pPr>
      <w:r>
        <w:t xml:space="preserve">What management guided for Q2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Sales:</w:t>
      </w:r>
      <w:r>
        <w:rPr>
          <w:b/>
          <w:bCs/>
        </w:rPr>
        <w:t xml:space="preserve"> </w:t>
      </w:r>
      <m:oMath>
        <m:r>
          <m:t>1.66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1.74B</w:t>
      </w:r>
      <w:r>
        <w:t xml:space="preserve"> </w:t>
      </w:r>
      <w:r>
        <w:t xml:space="preserve">(midpoint ~$1.70B, roughly +11% reported vs. Q2'25's $1,532.2M; less on a constant-currency basis given the FX tailwind).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Adjusted EPS:</w:t>
      </w:r>
      <w:r>
        <w:rPr>
          <w:b/>
          <w:bCs/>
        </w:rPr>
        <w:t xml:space="preserve"> </w:t>
      </w:r>
      <m:oMath>
        <m:r>
          <m:t>0.70</m:t>
        </m:r>
        <m:r>
          <m:rPr>
            <m:sty m:val="p"/>
          </m:rPr>
          <m:t>–</m:t>
        </m:r>
      </m:oMath>
      <w:r>
        <w:rPr>
          <w:b/>
          <w:bCs/>
        </w:rPr>
        <w:t xml:space="preserve">0.76</w:t>
      </w:r>
      <w:r>
        <w:t xml:space="preserve"> </w:t>
      </w:r>
      <w:r>
        <w:t xml:space="preserve">vs. $0.67 a year ago (midpoint ~+9%).</w:t>
      </w:r>
    </w:p>
    <w:p>
      <w:pPr>
        <w:pStyle w:val="FirstParagraph"/>
      </w:pPr>
      <w:r>
        <w:t xml:space="preserve">For context, the year-ago Q2'25 base was:</w:t>
      </w:r>
      <w:r>
        <w:t xml:space="preserve"> </w:t>
      </w:r>
      <w:r>
        <w:rPr>
          <w:b/>
          <w:bCs/>
        </w:rPr>
        <w:t xml:space="preserve">Total $1,532.2M, TAVR $1,130.9M, TMTT $134.5M, Surgical $266.8M, adjusted EPS $0.67</w:t>
      </w:r>
      <w:r>
        <w:t xml:space="preserve">, with adjusted gross margin 77.6% and adjusted operating margin 28.2%.</w:t>
      </w:r>
    </w:p>
    <w:p>
      <w:pPr>
        <w:pStyle w:val="BodyText"/>
      </w:pPr>
      <w:r>
        <w:rPr>
          <w:b/>
          <w:bCs/>
        </w:rPr>
        <w:t xml:space="preserve">Full-year 2026 framework (raised at Q1):</w:t>
      </w:r>
    </w:p>
    <w:p>
      <w:pPr>
        <w:pStyle w:val="Compact"/>
        <w:numPr>
          <w:ilvl w:val="0"/>
          <w:numId w:val="1002"/>
        </w:numPr>
      </w:pPr>
      <w:r>
        <w:t xml:space="preserve">Total company sales growth</w:t>
      </w:r>
      <w:r>
        <w:t xml:space="preserve"> </w:t>
      </w:r>
      <w:r>
        <w:rPr>
          <w:b/>
          <w:bCs/>
        </w:rPr>
        <w:t xml:space="preserve">9%–11%</w:t>
      </w:r>
      <w:r>
        <w:t xml:space="preserve"> </w:t>
      </w:r>
      <w:r>
        <w:t xml:space="preserve">(</w:t>
      </w:r>
      <m:oMath>
        <m:r>
          <m:t>6.5</m:t>
        </m:r>
        <m:r>
          <m:t>B</m:t>
        </m:r>
        <m:r>
          <m:rPr>
            <m:sty m:val="p"/>
          </m:rPr>
          <m:t>–</m:t>
        </m:r>
      </m:oMath>
      <w:r>
        <w:t xml:space="preserve">6.9B)</w:t>
      </w:r>
    </w:p>
    <w:p>
      <w:pPr>
        <w:pStyle w:val="Compact"/>
        <w:numPr>
          <w:ilvl w:val="0"/>
          <w:numId w:val="1002"/>
        </w:numPr>
      </w:pPr>
      <w:r>
        <w:t xml:space="preserve">TAVR growth</w:t>
      </w:r>
      <w:r>
        <w:t xml:space="preserve"> </w:t>
      </w:r>
      <w:r>
        <w:rPr>
          <w:b/>
          <w:bCs/>
        </w:rPr>
        <w:t xml:space="preserve">7%–9%</w:t>
      </w:r>
      <w:r>
        <w:t xml:space="preserve"> </w:t>
      </w:r>
      <w:r>
        <w:t xml:space="preserve">(</w:t>
      </w:r>
      <m:oMath>
        <m:r>
          <m:t>4.7</m:t>
        </m:r>
        <m:r>
          <m:t>B</m:t>
        </m:r>
        <m:r>
          <m:rPr>
            <m:sty m:val="p"/>
          </m:rPr>
          <m:t>–</m:t>
        </m:r>
      </m:oMath>
      <w:r>
        <w:t xml:space="preserve">5.0B)</w:t>
      </w:r>
    </w:p>
    <w:p>
      <w:pPr>
        <w:pStyle w:val="Compact"/>
        <w:numPr>
          <w:ilvl w:val="0"/>
          <w:numId w:val="1002"/>
        </w:numPr>
      </w:pPr>
      <w:r>
        <w:t xml:space="preserve">TMTT sales</w:t>
      </w:r>
      <w:r>
        <w:t xml:space="preserve"> </w:t>
      </w:r>
      <m:oMath>
        <m:r>
          <m:t>740</m:t>
        </m:r>
        <m:r>
          <m:t>M</m:t>
        </m:r>
        <m:r>
          <m:rPr>
            <m:sty m:val="p"/>
          </m:rPr>
          <m:t>–</m:t>
        </m:r>
      </m:oMath>
      <w:r>
        <w:rPr>
          <w:b/>
          <w:bCs/>
        </w:rPr>
        <w:t xml:space="preserve">780M</w:t>
      </w:r>
      <w:r>
        <w:t xml:space="preserve"> </w:t>
      </w:r>
      <w:r>
        <w:t xml:space="preserve">(35%–45% growth)</w:t>
      </w:r>
    </w:p>
    <w:p>
      <w:pPr>
        <w:pStyle w:val="Compact"/>
        <w:numPr>
          <w:ilvl w:val="0"/>
          <w:numId w:val="1002"/>
        </w:numPr>
      </w:pPr>
      <w:r>
        <w:t xml:space="preserve">Surgical</w:t>
      </w:r>
      <w:r>
        <w:t xml:space="preserve"> </w:t>
      </w:r>
      <w:r>
        <w:rPr>
          <w:b/>
          <w:bCs/>
        </w:rPr>
        <w:t xml:space="preserve">mid-single-digit</w:t>
      </w:r>
      <w:r>
        <w:t xml:space="preserve"> </w:t>
      </w:r>
      <w:r>
        <w:t xml:space="preserve">growth</w:t>
      </w:r>
    </w:p>
    <w:p>
      <w:pPr>
        <w:pStyle w:val="Compact"/>
        <w:numPr>
          <w:ilvl w:val="0"/>
          <w:numId w:val="1002"/>
        </w:numPr>
      </w:pPr>
      <w:r>
        <w:t xml:space="preserve">Adjusted EPS</w:t>
      </w:r>
      <w:r>
        <w:t xml:space="preserve"> </w:t>
      </w:r>
      <m:oMath>
        <m:r>
          <m:t>2.95</m:t>
        </m:r>
        <m:r>
          <m:rPr>
            <m:sty m:val="p"/>
          </m:rPr>
          <m:t>–</m:t>
        </m:r>
      </m:oMath>
      <w:r>
        <w:rPr>
          <w:b/>
          <w:bCs/>
        </w:rPr>
        <w:t xml:space="preserve">3.05</w:t>
      </w:r>
    </w:p>
    <w:p>
      <w:pPr>
        <w:pStyle w:val="Compact"/>
        <w:numPr>
          <w:ilvl w:val="0"/>
          <w:numId w:val="1002"/>
        </w:numPr>
      </w:pPr>
      <w:r>
        <w:t xml:space="preserve">Operating margin at the</w:t>
      </w:r>
      <w:r>
        <w:t xml:space="preserve"> </w:t>
      </w:r>
      <w:r>
        <w:rPr>
          <w:b/>
          <w:bCs/>
        </w:rPr>
        <w:t xml:space="preserve">high end of 28%–29%</w:t>
      </w:r>
      <w:r>
        <w:t xml:space="preserve"> </w:t>
      </w:r>
      <w:r>
        <w:t xml:space="preserve">(~150 bps of constant-currency expansion)</w:t>
      </w:r>
    </w:p>
    <w:p>
      <w:pPr>
        <w:pStyle w:val="Compact"/>
        <w:numPr>
          <w:ilvl w:val="0"/>
          <w:numId w:val="1002"/>
        </w:numPr>
      </w:pPr>
      <w:r>
        <w:t xml:space="preserve">Gross margin</w:t>
      </w:r>
      <w:r>
        <w:t xml:space="preserve"> </w:t>
      </w:r>
      <w:r>
        <w:rPr>
          <w:b/>
          <w:bCs/>
        </w:rPr>
        <w:t xml:space="preserve">78%–79%</w:t>
      </w:r>
      <w:r>
        <w:t xml:space="preserve">; R&amp;D ~17% of sales; tax rate 16%–19%</w:t>
      </w:r>
    </w:p>
    <w:p>
      <w:r>
        <w:pict>
          <v:rect style="width:0;height:1.5pt" o:hralign="center" o:hrstd="t" o:hr="t"/>
        </w:pict>
      </w:r>
    </w:p>
    <w:bookmarkEnd w:id="10"/>
    <w:bookmarkStart w:id="16" w:name="X8dbb5cd5de81361f6b48eab68ccde1acaa86f49"/>
    <w:p>
      <w:pPr>
        <w:pStyle w:val="Heading2"/>
      </w:pPr>
      <w:r>
        <w:t xml:space="preserve">The five things that matter into the print</w:t>
      </w:r>
    </w:p>
    <w:bookmarkStart w:id="11" w:name="X75ebbc43de7a94f410c8e90d5ea4ec42e374098"/>
    <w:p>
      <w:pPr>
        <w:pStyle w:val="Heading3"/>
      </w:pPr>
      <w:r>
        <w:t xml:space="preserve">1) TAVR: can the reacceleration hold as comps stiffen?</w:t>
      </w:r>
    </w:p>
    <w:p>
      <w:pPr>
        <w:pStyle w:val="FirstParagraph"/>
      </w:pPr>
      <w:r>
        <w:t xml:space="preserve">TAVR grew</w:t>
      </w:r>
      <w:r>
        <w:t xml:space="preserve"> </w:t>
      </w:r>
      <w:r>
        <w:rPr>
          <w:b/>
          <w:bCs/>
        </w:rPr>
        <w:t xml:space="preserve">11% in Q1</w:t>
      </w:r>
      <w:r>
        <w:t xml:space="preserve"> </w:t>
      </w:r>
      <w:r>
        <w:t xml:space="preserve">($1.2B), driven mostly by</w:t>
      </w:r>
      <w:r>
        <w:t xml:space="preserve"> </w:t>
      </w:r>
      <w:r>
        <w:rPr>
          <w:i/>
          <w:iCs/>
        </w:rPr>
        <w:t xml:space="preserve">market</w:t>
      </w:r>
      <w:r>
        <w:t xml:space="preserve"> </w:t>
      </w:r>
      <w:r>
        <w:t xml:space="preserve">growth — a "renewed focus" on proactive management of severe aortic stenosis backed by a deep evidence base (EARLY TAVR in asymptomatic patients, 7-year PARTNER 3 and 10-year PARTNER II durability data). Management was explicit that this is a market-expansion story, not primarily a share story, though it acknowledged a</w:t>
      </w:r>
      <w:r>
        <w:t xml:space="preserve"> </w:t>
      </w:r>
      <w:r>
        <w:rPr>
          <w:b/>
          <w:bCs/>
        </w:rPr>
        <w:t xml:space="preserve">slight competitive benefit</w:t>
      </w:r>
      <w:r>
        <w:t xml:space="preserve"> </w:t>
      </w:r>
      <w:r>
        <w:t xml:space="preserve">in the U.S. plus share gains in Europe from a competitor's exit.</w:t>
      </w:r>
    </w:p>
    <w:p>
      <w:pPr>
        <w:pStyle w:val="BodyText"/>
      </w:pPr>
      <w:r>
        <w:rPr>
          <w:b/>
          <w:bCs/>
        </w:rPr>
        <w:t xml:space="preserve">Watch for:</w:t>
      </w:r>
    </w:p>
    <w:p>
      <w:pPr>
        <w:pStyle w:val="Compact"/>
        <w:numPr>
          <w:ilvl w:val="0"/>
          <w:numId w:val="1003"/>
        </w:numPr>
      </w:pPr>
      <w:r>
        <w:t xml:space="preserve">Whether U.S. TAVR growth held (management coyly said U.S. was "healthy" and OUS "even faster" in Q1 — i.e., U.S. likely high-single/low-double digits).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Durability of the Medtronic Evolut long-term data narrative.</w:t>
      </w:r>
      <w:r>
        <w:t xml:space="preserve"> </w:t>
      </w:r>
      <w:r>
        <w:t xml:space="preserve">The competitor's 6-/7-year data landed mid-February; management said in April it was still too early to quantify how much of the momentum was share vs. market. Q2 is the first</w:t>
      </w:r>
      <w:r>
        <w:t xml:space="preserve"> </w:t>
      </w:r>
      <w:r>
        <w:rPr>
          <w:i/>
          <w:iCs/>
        </w:rPr>
        <w:t xml:space="preserve">full</w:t>
      </w:r>
      <w:r>
        <w:t xml:space="preserve"> </w:t>
      </w:r>
      <w:r>
        <w:t xml:space="preserve">quarter to observe any share shift — and any incremental U.S. share gain would be</w:t>
      </w:r>
      <w:r>
        <w:t xml:space="preserve"> </w:t>
      </w:r>
      <w:r>
        <w:rPr>
          <w:b/>
          <w:bCs/>
        </w:rPr>
        <w:t xml:space="preserve">upside to guidance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Tone on H2 comps. This is the swing factor for the full-year TAVR raise.</w:t>
      </w:r>
    </w:p>
    <w:bookmarkEnd w:id="11"/>
    <w:bookmarkStart w:id="12" w:name="Xa904462f65ebb2d90ef53c90110a613e57aa750"/>
    <w:p>
      <w:pPr>
        <w:pStyle w:val="Heading3"/>
      </w:pPr>
      <w:r>
        <w:t xml:space="preserve">2) The TAVR NCD — the biggest policy catalyst</w:t>
      </w:r>
    </w:p>
    <w:p>
      <w:pPr>
        <w:pStyle w:val="FirstParagraph"/>
      </w:pPr>
      <w:r>
        <w:t xml:space="preserve">CMS is reconsidering the National Coverage Determination for TAVR, which could ease access requirements (e.g., site/volume and heart-team rules). Management said a</w:t>
      </w:r>
      <w:r>
        <w:t xml:space="preserve"> </w:t>
      </w:r>
      <w:r>
        <w:rPr>
          <w:b/>
          <w:bCs/>
        </w:rPr>
        <w:t xml:space="preserve">draft decision memo was expected around June 15</w:t>
      </w:r>
      <w:r>
        <w:t xml:space="preserve"> </w:t>
      </w:r>
      <w:r>
        <w:t xml:space="preserve">— so it should exist by this call.</w:t>
      </w:r>
      <w:r>
        <w:t xml:space="preserve"> </w:t>
      </w:r>
      <w:r>
        <w:rPr>
          <w:b/>
          <w:bCs/>
        </w:rPr>
        <w:t xml:space="preserve">The draft's contents and management's read-through to volumes/access will be a focal point.</w:t>
      </w:r>
      <w:r>
        <w:t xml:space="preserve"> </w:t>
      </w:r>
      <w:r>
        <w:t xml:space="preserve">A favorable draft supports the multi-year growth thesis; onerous conditions would be a modest negative. Separately, management flagged the new CMS/FDA "RAPID" breakthrough-therapy pathway as a positive.</w:t>
      </w:r>
    </w:p>
    <w:bookmarkEnd w:id="12"/>
    <w:bookmarkStart w:id="13" w:name="Xec2f7c4990f3241bf2d3887a264a06d9fc4b2a6"/>
    <w:p>
      <w:pPr>
        <w:pStyle w:val="Heading3"/>
      </w:pPr>
      <w:r>
        <w:t xml:space="preserve">3) TMTT: another beat that forces a raise?</w:t>
      </w:r>
    </w:p>
    <w:p>
      <w:pPr>
        <w:pStyle w:val="FirstParagraph"/>
      </w:pPr>
      <w:r>
        <w:t xml:space="preserve">TMTT was the standout in Q1 —</w:t>
      </w:r>
      <w:r>
        <w:t xml:space="preserve"> </w:t>
      </w:r>
      <m:oMath>
        <m:r>
          <m:t>173</m:t>
        </m:r>
        <m:r>
          <m:t>M</m:t>
        </m:r>
        <m:r>
          <m:rPr>
            <m:sty m:val="p"/>
          </m:rPr>
          <m:t>,</m:t>
        </m:r>
        <m:r>
          <m:rPr>
            <m:sty m:val="p"/>
          </m:rPr>
          <m:t>+</m:t>
        </m:r>
        <m:r>
          <m:t>42</m:t>
        </m:r>
      </m:oMath>
      <w:r>
        <w:rPr>
          <w:b/>
          <w:bCs/>
        </w:rPr>
        <w:t xml:space="preserve">740M–$780M full-year range unchanged.</w:t>
      </w:r>
      <w:r>
        <w:t xml:space="preserve"> </w:t>
      </w:r>
      <w:r>
        <w:t xml:space="preserve">The math is telling: Q1 alone was</w:t>
      </w:r>
      <w:r>
        <w:t xml:space="preserve"> </w:t>
      </w:r>
      <m:oMath>
        <m:r>
          <m:t>175</m:t>
        </m:r>
        <m:r>
          <m:t>M</m:t>
        </m:r>
        <m:r>
          <m:rPr>
            <m:sty m:val="p"/>
          </m:rPr>
          <m:t>(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i</m:t>
        </m:r>
        <m:r>
          <m:t>f</m:t>
        </m:r>
        <m:r>
          <m:t>Q</m:t>
        </m:r>
        <m:r>
          <m:t>2</m:t>
        </m:r>
        <m:r>
          <m:t>t</m:t>
        </m:r>
        <m:r>
          <m:t>r</m:t>
        </m:r>
        <m:r>
          <m:t>a</m:t>
        </m:r>
        <m:r>
          <m:t>c</m:t>
        </m:r>
        <m:r>
          <m:t>k</m:t>
        </m:r>
        <m:r>
          <m:t>s</m:t>
        </m:r>
        <m:r>
          <m:t>n</m:t>
        </m:r>
        <m:r>
          <m:t>e</m:t>
        </m:r>
        <m:r>
          <m:t>a</m:t>
        </m:r>
        <m:r>
          <m:t>r</m:t>
        </m:r>
        <m:r>
          <m:t>t</m:t>
        </m:r>
        <m:r>
          <m:t>h</m:t>
        </m:r>
        <m:r>
          <m:t>e</m:t>
        </m:r>
        <m:r>
          <m:t> </m:t>
        </m:r>
        <m:r>
          <m:t>40</m:t>
        </m:r>
      </m:oMath>
      <w:r>
        <w:t xml:space="preserve">185–190M), the first half runs ~$360M, leaving a wide range for H2.</w:t>
      </w:r>
      <w:r>
        <w:t xml:space="preserve"> </w:t>
      </w:r>
      <w:r>
        <w:rPr>
          <w:b/>
          <w:bCs/>
        </w:rPr>
        <w:t xml:space="preserve">A TMTT guidance raise is one of the more likely positive surprises.</w:t>
      </w:r>
      <w:r>
        <w:t xml:space="preserve"> </w:t>
      </w:r>
      <w:r>
        <w:t xml:space="preserve">Key drivers: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SAPIEN M3</w:t>
      </w:r>
      <w:r>
        <w:t xml:space="preserve"> </w:t>
      </w:r>
      <w:r>
        <w:t xml:space="preserve">(U.S. mitral replacement) — very early launch; watch account expansion and utilization commentary.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EVOQUE</w:t>
      </w:r>
      <w:r>
        <w:t xml:space="preserve"> </w:t>
      </w:r>
      <w:r>
        <w:t xml:space="preserve">scaling on strong TRISCEND II 2-year all-cause mortality data.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PASCAL</w:t>
      </w:r>
      <w:r>
        <w:t xml:space="preserve"> </w:t>
      </w:r>
      <w:r>
        <w:t xml:space="preserve">— differentiated TEER momentum; next-gen mitral/tricuspid due Q4, plus U.S. tricuspid launch in Q4.</w:t>
      </w:r>
    </w:p>
    <w:p>
      <w:pPr>
        <w:pStyle w:val="Compact"/>
        <w:numPr>
          <w:ilvl w:val="0"/>
          <w:numId w:val="1004"/>
        </w:numPr>
      </w:pPr>
      <w:r>
        <w:t xml:space="preserve">Reiteration of the</w:t>
      </w:r>
      <w:r>
        <w:t xml:space="preserve"> </w:t>
      </w:r>
      <w:r>
        <w:rPr>
          <w:b/>
          <w:bCs/>
        </w:rPr>
        <w:t xml:space="preserve">$2B-by-2030</w:t>
      </w:r>
      <w:r>
        <w:t xml:space="preserve"> </w:t>
      </w:r>
      <w:r>
        <w:t xml:space="preserve">TMTT target.</w:t>
      </w:r>
    </w:p>
    <w:bookmarkEnd w:id="13"/>
    <w:bookmarkStart w:id="14" w:name="Xcbb423c9ce1a6cffd1a09733b95e5b074a1dd47"/>
    <w:p>
      <w:pPr>
        <w:pStyle w:val="Heading3"/>
      </w:pPr>
      <w:r>
        <w:t xml:space="preserve">4) New CFO's first call</w:t>
      </w:r>
    </w:p>
    <w:p>
      <w:pPr>
        <w:pStyle w:val="FirstParagraph"/>
      </w:pPr>
      <w:r>
        <w:rPr>
          <w:b/>
          <w:bCs/>
        </w:rPr>
        <w:t xml:space="preserve">Theodora ("Doretta") Mistras</w:t>
      </w:r>
      <w:r>
        <w:t xml:space="preserve"> </w:t>
      </w:r>
      <w:r>
        <w:t xml:space="preserve">became CFO effective end of May, succeeding long-time CFO Scott Ullem (13 years). This is her first earnings call at the helm. Watch for any change in tone/framing on guidance philosophy, margins, or capital allocation — though a smooth "continuity" message is most likely given the transition was planned.</w:t>
      </w:r>
    </w:p>
    <w:bookmarkEnd w:id="14"/>
    <w:bookmarkStart w:id="15" w:name="X920dfc31f1809a359f54579b6a0e64666ec428b"/>
    <w:p>
      <w:pPr>
        <w:pStyle w:val="Heading3"/>
      </w:pPr>
      <w:r>
        <w:t xml:space="preserve">5) Margins, FX and capital returns</w:t>
      </w:r>
    </w:p>
    <w:p>
      <w:pPr>
        <w:pStyle w:val="Compact"/>
        <w:numPr>
          <w:ilvl w:val="0"/>
          <w:numId w:val="1005"/>
        </w:numPr>
      </w:pPr>
      <w:r>
        <w:t xml:space="preserve">Q1 adjusted operating margin was 31.4%, aided by</w:t>
      </w:r>
      <w:r>
        <w:t xml:space="preserve"> </w:t>
      </w:r>
      <w:r>
        <w:rPr>
          <w:b/>
          <w:bCs/>
        </w:rPr>
        <w:t xml:space="preserve">planned phasing of investments</w:t>
      </w:r>
      <w:r>
        <w:t xml:space="preserve"> </w:t>
      </w:r>
      <w:r>
        <w:t xml:space="preserve">— expect a step-up in SG&amp;A/R&amp;D spend in H2, so don't extrapolate Q1 margins linearly.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FX has been a tailwind</w:t>
      </w:r>
      <w:r>
        <w:t xml:space="preserve"> </w:t>
      </w:r>
      <w:r>
        <w:t xml:space="preserve">(weaker dollar; ~$55M FY benefit, mostly banked in H1). Reported growth will look stronger than constant currency again.</w:t>
      </w:r>
    </w:p>
    <w:p>
      <w:pPr>
        <w:pStyle w:val="Compact"/>
        <w:numPr>
          <w:ilvl w:val="0"/>
          <w:numId w:val="1005"/>
        </w:numPr>
      </w:pPr>
      <w:r>
        <w:t xml:space="preserve">Capital return: completed a</w:t>
      </w:r>
      <w:r>
        <w:t xml:space="preserve"> </w:t>
      </w:r>
      <m:oMath>
        <m:r>
          <m:t>500</m:t>
        </m:r>
        <m:r>
          <m:t>M</m:t>
        </m:r>
        <m:r>
          <m:t>A</m:t>
        </m:r>
        <m:r>
          <m:t>S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rPr>
          <w:b/>
          <w:bCs/>
        </w:rPr>
        <w:t xml:space="preserve">1.5B remaining</w:t>
      </w:r>
      <w:r>
        <w:t xml:space="preserve"> </w:t>
      </w:r>
      <w:r>
        <w:t xml:space="preserve">on authorization and ~$2.4B cash. Watch for pace of additional buybacks and updated share-count guidance (FY diluted shares guided 575–580M).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7" w:name="stock-context"/>
    <w:p>
      <w:pPr>
        <w:pStyle w:val="Heading2"/>
      </w:pPr>
      <w:r>
        <w:t xml:space="preserve">Stock context</w:t>
      </w:r>
    </w:p>
    <w:p>
      <w:pPr>
        <w:pStyle w:val="FirstParagraph"/>
      </w:pPr>
      <w:r>
        <w:t xml:space="preserve">EW shares started 2026 around **</w:t>
      </w:r>
      <m:oMath>
        <m:r>
          <m:t>85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d</m:t>
        </m:r>
        <m:r>
          <m:t>i</m:t>
        </m:r>
        <m:r>
          <m:t>p</m:t>
        </m:r>
        <m:r>
          <m:t>p</m:t>
        </m:r>
        <m:r>
          <m:t>e</m:t>
        </m:r>
        <m:r>
          <m:t>d</m:t>
        </m:r>
        <m:r>
          <m:t>t</m:t>
        </m:r>
        <m:r>
          <m:t>o</m:t>
        </m:r>
        <m:r>
          <m:t>t</m:t>
        </m:r>
        <m:r>
          <m:t>h</m:t>
        </m:r>
        <m:r>
          <m:t>e</m:t>
        </m:r>
        <m:r>
          <m:t>m</m:t>
        </m:r>
        <m:r>
          <m:t>i</m:t>
        </m:r>
        <m:r>
          <m:t>d</m:t>
        </m:r>
        <m:r>
          <m:rPr>
            <m:sty m:val="p"/>
          </m:rPr>
          <m:t>−</m:t>
        </m:r>
      </m:oMath>
      <w:r>
        <w:t xml:space="preserve">70s in February (around the competitor data drop), then rallied to a</w:t>
      </w:r>
      <w:r>
        <w:t xml:space="preserve"> </w:t>
      </w:r>
      <w:r>
        <w:rPr>
          <w:b/>
          <w:bCs/>
        </w:rPr>
        <w:t xml:space="preserve">~</w:t>
      </w:r>
      <m:oMath>
        <m:r>
          <m:t>95</m:t>
        </m:r>
        <m:r>
          <m:t>p</m:t>
        </m:r>
        <m:r>
          <m:t>e</m:t>
        </m:r>
        <m:r>
          <m:t>a</m:t>
        </m:r>
        <m:r>
          <m:t>k</m:t>
        </m:r>
        <m:r>
          <m:t>i</m:t>
        </m:r>
        <m:r>
          <m:t>n</m:t>
        </m:r>
        <m:r>
          <m:t>e</m:t>
        </m:r>
        <m:r>
          <m:t>a</m:t>
        </m:r>
        <m:r>
          <m:t>r</m:t>
        </m:r>
        <m:r>
          <m:t>l</m:t>
        </m:r>
        <m:r>
          <m:t>y</m:t>
        </m:r>
        <m:r>
          <m:t>J</m:t>
        </m:r>
        <m:r>
          <m:t>u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rPr>
            <m:sty m:val="p"/>
          </m:rPr>
          <m:t>+</m:t>
        </m:r>
        <m:r>
          <m:t>25</m:t>
        </m:r>
      </m:oMath>
      <w:r>
        <w:rPr>
          <w:b/>
          <w:bCs/>
        </w:rPr>
        <w:t xml:space="preserve">84</w:t>
      </w:r>
      <w:r>
        <w:t xml:space="preserve"> </w:t>
      </w:r>
      <w:r>
        <w:t xml:space="preserve">— essentially flat year-to-date. That fade suggests some de-risking/profit-taking ahead of the harder-comp quarter, which lowers the sentiment bar somewhat but also means expectations for another raise are partly embedded.</w:t>
      </w:r>
    </w:p>
    <w:p>
      <w:r>
        <w:pict>
          <v:rect style="width:0;height:1.5pt" o:hralign="center" o:hrstd="t" o:hr="t"/>
        </w:pict>
      </w:r>
    </w:p>
    <w:bookmarkEnd w:id="17"/>
    <w:bookmarkStart w:id="18" w:name="Xdffc065d23cc2c45d7aee236b9c8b44db14aae6"/>
    <w:p>
      <w:pPr>
        <w:pStyle w:val="Heading2"/>
      </w:pPr>
      <w:r>
        <w:t xml:space="preserve">Catalysts on the horizon (beyond this quarter)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PROGRESS trial</w:t>
      </w:r>
      <w:r>
        <w:t xml:space="preserve"> </w:t>
      </w:r>
      <w:r>
        <w:t xml:space="preserve">(moderate AS) results at</w:t>
      </w:r>
      <w:r>
        <w:t xml:space="preserve"> </w:t>
      </w:r>
      <w:r>
        <w:rPr>
          <w:b/>
          <w:bCs/>
        </w:rPr>
        <w:t xml:space="preserve">TCT</w:t>
      </w:r>
      <w:r>
        <w:t xml:space="preserve"> </w:t>
      </w:r>
      <w:r>
        <w:t xml:space="preserve">this fall — a potential large market-expansion catalyst; management is deliberately guarded on expectations.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SAPIEN X4</w:t>
      </w:r>
      <w:r>
        <w:t xml:space="preserve"> </w:t>
      </w:r>
      <w:r>
        <w:t xml:space="preserve">confirmatory clinical work through 2026 (next-gen TAVR / personalized sizing).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PASCAL next-gen + U.S. tricuspid launch (Q4)</w:t>
      </w:r>
      <w:r>
        <w:t xml:space="preserve">;</w:t>
      </w:r>
      <w:r>
        <w:t xml:space="preserve"> </w:t>
      </w:r>
      <w:r>
        <w:rPr>
          <w:b/>
          <w:bCs/>
        </w:rPr>
        <w:t xml:space="preserve">TRIFORMIS</w:t>
      </w:r>
      <w:r>
        <w:t xml:space="preserve"> </w:t>
      </w:r>
      <w:r>
        <w:t xml:space="preserve">surgical tricuspid and surgical</w:t>
      </w:r>
      <w:r>
        <w:t xml:space="preserve"> </w:t>
      </w:r>
      <w:r>
        <w:rPr>
          <w:b/>
          <w:bCs/>
        </w:rPr>
        <w:t xml:space="preserve">LAAC</w:t>
      </w:r>
      <w:r>
        <w:t xml:space="preserve"> </w:t>
      </w:r>
      <w:r>
        <w:t xml:space="preserve">in H2.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COMMENCE</w:t>
      </w:r>
      <w:r>
        <w:t xml:space="preserve"> </w:t>
      </w:r>
      <w:r>
        <w:t xml:space="preserve">10-year RESILIA durability data (AATS).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Investor Day: Friday, December 4, NYSE</w:t>
      </w:r>
      <w:r>
        <w:t xml:space="preserve"> </w:t>
      </w:r>
      <w:r>
        <w:t xml:space="preserve">— the venue for any updated long-range framework (management reiterates ~10% average annual sales growth and 50–100 bps margin expansion in 2027+).</w:t>
      </w:r>
    </w:p>
    <w:p>
      <w:r>
        <w:pict>
          <v:rect style="width:0;height:1.5pt" o:hralign="center" o:hrstd="t" o:hr="t"/>
        </w:pict>
      </w:r>
    </w:p>
    <w:bookmarkEnd w:id="18"/>
    <w:bookmarkStart w:id="19" w:name="bottom-line--what-to-focus-on"/>
    <w:p>
      <w:pPr>
        <w:pStyle w:val="Heading2"/>
      </w:pPr>
      <w:r>
        <w:t xml:space="preserve">Bottom line — what to focus on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Does guidance get raised again?</w:t>
      </w:r>
      <w:r>
        <w:t xml:space="preserve"> </w:t>
      </w:r>
      <w:r>
        <w:t xml:space="preserve">A Q1-style beat plus a TMTT raise would be the bull case; a modest beat with an unchanged guide (citing H2 comps) is the base case management has been telegraphing.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TAVR share signal</w:t>
      </w:r>
      <w:r>
        <w:t xml:space="preserve"> </w:t>
      </w:r>
      <w:r>
        <w:t xml:space="preserve">— the first full quarter post-competitor data; any hard evidence of U.S. share capture is upside.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The NCD draft memo</w:t>
      </w:r>
      <w:r>
        <w:t xml:space="preserve"> </w:t>
      </w:r>
      <w:r>
        <w:t xml:space="preserve">— the single most important policy read-through for the multi-year TAVR story.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Margin cadence and the new CFO's framing</w:t>
      </w:r>
      <w:r>
        <w:t xml:space="preserve"> </w:t>
      </w:r>
      <w:r>
        <w:t xml:space="preserve">— expect H2 spend to ramp; don't over-read Q1 margin strength.</w:t>
      </w:r>
    </w:p>
    <w:p>
      <w:pPr>
        <w:pStyle w:val="FirstParagraph"/>
      </w:pPr>
      <w:r>
        <w:rPr>
          <w:i/>
          <w:iCs/>
        </w:rPr>
        <w:t xml:space="preserve">Note: figures above are drawn from Edwards' Q1 2026 earnings release/call and Q2 2025 release. As of this writing I did not find a confirmed Q2 2026 consensus estimate or the published NCD draft memo in the available sources, so treat the guidance midpoints (sales ~</w:t>
      </w:r>
      <m:oMath>
        <m:r>
          <m:t>1.70</m:t>
        </m:r>
        <m:r>
          <m:t>B</m:t>
        </m:r>
        <m:r>
          <m:rPr>
            <m:sty m:val="p"/>
          </m:rPr>
          <m:t>,</m:t>
        </m:r>
        <m:r>
          <m:t>a</m:t>
        </m:r>
        <m:r>
          <m:t>d</m:t>
        </m:r>
        <m:r>
          <m:t>j</m:t>
        </m:r>
        <m:r>
          <m:rPr>
            <m:sty m:val="p"/>
          </m:rPr>
          <m:t>.</m:t>
        </m:r>
        <m:r>
          <m:t>E</m:t>
        </m:r>
        <m:r>
          <m:t>P</m:t>
        </m:r>
        <m:r>
          <m:t>S</m:t>
        </m:r>
        <m:r>
          <m:t> </m:t>
        </m:r>
      </m:oMath>
      <w:r>
        <w:rPr>
          <w:i/>
          <w:iCs/>
        </w:rPr>
        <w:t xml:space="preserve">0.73) and the NCD as the key items to reconcile against the actual print and management commentary.</w:t>
      </w:r>
    </w:p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2026-07-23T01:09:03Z</dcterms:created>
  <dcterms:modified xsi:type="dcterms:W3CDTF">2026-07-23T01:09:03Z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