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8b58e7459fd3520777524390678614fdfe3238"/>
    <w:p>
      <w:pPr>
        <w:pStyle w:val="Heading1"/>
      </w:pPr>
      <w:r>
        <w:t xml:space="preserve">Edwards Lifesciences (EW) — Q2 2026 Earnings Preview</w:t>
      </w:r>
    </w:p>
    <w:p>
      <w:pPr>
        <w:pStyle w:val="BlockText"/>
      </w:pPr>
      <w:r>
        <w:rPr>
          <w:b/>
          <w:bCs/>
        </w:rPr>
        <w:t xml:space="preserve">Timing clarification:</w:t>
      </w:r>
      <w:r>
        <w:t xml:space="preserve"> </w:t>
      </w:r>
      <w:r>
        <w:t xml:space="preserve">Edwards reports</w:t>
      </w:r>
      <w:r>
        <w:t xml:space="preserve"> </w:t>
      </w:r>
      <w:r>
        <w:rPr>
          <w:b/>
          <w:bCs/>
        </w:rPr>
        <w:t xml:space="preserve">today, Thursday, July 23, 2026</w:t>
      </w:r>
      <w:r>
        <w:t xml:space="preserve">, after the market closes—not tomorrow. The conference call begins at</w:t>
      </w:r>
      <w:r>
        <w:t xml:space="preserve"> </w:t>
      </w:r>
      <w:r>
        <w:rPr>
          <w:b/>
          <w:bCs/>
        </w:rPr>
        <w:t xml:space="preserve">5:00 p.m. ET</w:t>
      </w:r>
      <w:r>
        <w:t xml:space="preserve">. (</w:t>
      </w:r>
      <w:hyperlink r:id="rId9">
        <w:r>
          <w:rPr>
            <w:rStyle w:val="Hyperlink"/>
          </w:rPr>
          <w:t xml:space="preserve">edwards.com</w:t>
        </w:r>
      </w:hyperlink>
      <w:r>
        <w:t xml:space="preserve">)</w:t>
      </w:r>
    </w:p>
    <w:bookmarkStart w:id="10" w:name="executive-view"/>
    <w:p>
      <w:pPr>
        <w:pStyle w:val="Heading2"/>
      </w:pPr>
      <w:r>
        <w:t xml:space="preserve">Executive view</w:t>
      </w:r>
    </w:p>
    <w:p>
      <w:pPr>
        <w:pStyle w:val="FirstParagraph"/>
      </w:pPr>
      <w:r>
        <w:t xml:space="preserve">The central question is not whether Edwards can meet its Q2 guidance—the Street is already near the midpoint—but whether the strong Q1 trends are durable enough to support another increase in full-year expectations.</w:t>
      </w:r>
    </w:p>
    <w:p>
      <w:pPr>
        <w:pStyle w:val="BodyText"/>
      </w:pPr>
      <w:r>
        <w:t xml:space="preserve">The most important variables are:</w:t>
      </w:r>
    </w:p>
    <w:p>
      <w:pPr>
        <w:pStyle w:val="Compact"/>
        <w:numPr>
          <w:ilvl w:val="0"/>
          <w:numId w:val="1001"/>
        </w:numPr>
      </w:pPr>
      <w:r>
        <w:rPr>
          <w:b/>
          <w:bCs/>
        </w:rPr>
        <w:t xml:space="preserve">TAVR growth</w:t>
      </w:r>
      <w:r>
        <w:t xml:space="preserve">, particularly whether U.S. momentum and competitive gains persist.</w:t>
      </w:r>
    </w:p>
    <w:p>
      <w:pPr>
        <w:pStyle w:val="Compact"/>
        <w:numPr>
          <w:ilvl w:val="0"/>
          <w:numId w:val="1001"/>
        </w:numPr>
      </w:pPr>
      <w:r>
        <w:rPr>
          <w:b/>
          <w:bCs/>
        </w:rPr>
        <w:t xml:space="preserve">TMTT adoption</w:t>
      </w:r>
      <w:r>
        <w:t xml:space="preserve">, including EVOQUE, PASCAL and the early SAPIEN M3 rollout.</w:t>
      </w:r>
    </w:p>
    <w:p>
      <w:pPr>
        <w:pStyle w:val="Compact"/>
        <w:numPr>
          <w:ilvl w:val="0"/>
          <w:numId w:val="1001"/>
        </w:numPr>
      </w:pPr>
      <w:r>
        <w:rPr>
          <w:b/>
          <w:bCs/>
        </w:rPr>
        <w:t xml:space="preserve">The quality of EPS</w:t>
      </w:r>
      <w:r>
        <w:t xml:space="preserve">, given that Q1 margins benefited from the timing of investments.</w:t>
      </w:r>
    </w:p>
    <w:p>
      <w:pPr>
        <w:pStyle w:val="Compact"/>
        <w:numPr>
          <w:ilvl w:val="0"/>
          <w:numId w:val="1001"/>
        </w:numPr>
      </w:pPr>
      <w:r>
        <w:rPr>
          <w:b/>
          <w:bCs/>
        </w:rPr>
        <w:t xml:space="preserve">Management’s response to CMS’s proposed TAVR coverage changes.</w:t>
      </w:r>
    </w:p>
    <w:p>
      <w:pPr>
        <w:pStyle w:val="Compact"/>
        <w:numPr>
          <w:ilvl w:val="0"/>
          <w:numId w:val="1001"/>
        </w:numPr>
      </w:pPr>
      <w:r>
        <w:rPr>
          <w:b/>
          <w:bCs/>
        </w:rPr>
        <w:t xml:space="preserve">Full-year guidance</w:t>
      </w:r>
      <w:r>
        <w:t xml:space="preserve">, especially with more difficult comparisons coming in the second half.</w:t>
      </w:r>
    </w:p>
    <w:p>
      <w:pPr>
        <w:pStyle w:val="FirstParagraph"/>
      </w:pPr>
      <w:r>
        <w:t xml:space="preserve">A modest headline beat without stronger guidance could be treated as merely in line. A convincing print would likely require broad-based revenue upside, approximately double-digit TAVR growth, continued TMTT acceleration and evidence that margin leverage is operational rather than spending-related.</w:t>
      </w:r>
    </w:p>
    <w:p>
      <w:r>
        <w:pict>
          <v:rect style="width:0;height:1.5pt" o:hralign="center" o:hrstd="t" o:hr="t"/>
        </w:pict>
      </w:r>
    </w:p>
    <w:bookmarkEnd w:id="10"/>
    <w:bookmarkStart w:id="13" w:name="numbers-to-know"/>
    <w:p>
      <w:pPr>
        <w:pStyle w:val="Heading2"/>
      </w:pPr>
      <w:r>
        <w:t xml:space="preserve">Numbers to know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company guidance</w:t>
            </w:r>
          </w:p>
        </w:tc>
        <w:tc>
          <w:tcPr/>
          <w:p>
            <w:pPr>
              <w:pStyle w:val="Compact"/>
              <w:jc w:val="right"/>
            </w:pPr>
            <w:r>
              <w:t xml:space="preserve">Street expectation</w:t>
            </w:r>
          </w:p>
        </w:tc>
      </w:tr>
      <w:tr>
        <w:tc>
          <w:tcPr/>
          <w:p>
            <w:pPr>
              <w:pStyle w:val="Compact"/>
            </w:pPr>
            <w:r>
              <w:t xml:space="preserve">Revenue</w:t>
            </w:r>
          </w:p>
        </w:tc>
        <w:tc>
          <w:tcPr/>
          <w:p>
            <w:pPr>
              <w:pStyle w:val="Compact"/>
              <w:jc w:val="right"/>
            </w:pPr>
            <m:oMath>
              <m:r>
                <m:t>1.66</m:t>
              </m:r>
              <m:r>
                <m:t>B</m:t>
              </m:r>
              <m:r>
                <m:rPr>
                  <m:sty m:val="p"/>
                </m:rPr>
                <m:t>–</m:t>
              </m:r>
            </m:oMath>
            <w:r>
              <w:t xml:space="preserve">1.74B</w:t>
            </w:r>
          </w:p>
        </w:tc>
        <w:tc>
          <w:tcPr/>
          <w:p>
            <w:pPr>
              <w:pStyle w:val="Compact"/>
              <w:jc w:val="right"/>
            </w:pPr>
            <w:r>
              <w:t xml:space="preserve">Approximately</w:t>
            </w:r>
            <w:r>
              <w:t xml:space="preserve"> </w:t>
            </w:r>
            <w:r>
              <w:rPr>
                <w:b/>
                <w:bCs/>
              </w:rPr>
              <w:t xml:space="preserve">$1.70B</w:t>
            </w:r>
          </w:p>
        </w:tc>
      </w:tr>
      <w:tr>
        <w:tc>
          <w:tcPr/>
          <w:p>
            <w:pPr>
              <w:pStyle w:val="Compact"/>
            </w:pPr>
            <w:r>
              <w:t xml:space="preserve">Adjusted EPS</w:t>
            </w:r>
          </w:p>
        </w:tc>
        <w:tc>
          <w:tcPr/>
          <w:p>
            <w:pPr>
              <w:pStyle w:val="Compact"/>
              <w:jc w:val="right"/>
            </w:pPr>
            <m:oMath>
              <m:r>
                <m:t>0.70</m:t>
              </m:r>
              <m:r>
                <m:rPr>
                  <m:sty m:val="p"/>
                </m:rPr>
                <m:t>–</m:t>
              </m:r>
            </m:oMath>
            <w:r>
              <w:t xml:space="preserve">0.76</w:t>
            </w:r>
          </w:p>
        </w:tc>
        <w:tc>
          <w:tcPr/>
          <w:p>
            <w:pPr>
              <w:pStyle w:val="Compact"/>
              <w:jc w:val="right"/>
            </w:pPr>
            <w:r>
              <w:t xml:space="preserve">Approximately</w:t>
            </w:r>
            <w:r>
              <w:t xml:space="preserve"> </w:t>
            </w:r>
            <m:oMath>
              <m:r>
                <m:t>0.73</m:t>
              </m:r>
              <m:r>
                <m:rPr>
                  <m:sty m:val="p"/>
                </m:rPr>
                <m:t>–</m:t>
              </m:r>
            </m:oMath>
            <w:r>
              <w:rPr>
                <w:b/>
                <w:bCs/>
              </w:rPr>
              <w:t xml:space="preserve">0.74</w:t>
            </w:r>
          </w:p>
        </w:tc>
      </w:tr>
      <w:tr>
        <w:tc>
          <w:tcPr/>
          <w:p>
            <w:pPr>
              <w:pStyle w:val="Compact"/>
            </w:pPr>
            <w:r>
              <w:t xml:space="preserve">TAVR revenue growth</w:t>
            </w:r>
          </w:p>
        </w:tc>
        <w:tc>
          <w:tcPr/>
          <w:p>
            <w:pPr>
              <w:pStyle w:val="Compact"/>
              <w:jc w:val="right"/>
            </w:pPr>
            <w:r>
              <w:t xml:space="preserve">No quarterly target</w:t>
            </w:r>
          </w:p>
        </w:tc>
        <w:tc>
          <w:tcPr/>
          <w:p>
            <w:pPr>
              <w:pStyle w:val="Compact"/>
              <w:jc w:val="right"/>
            </w:pPr>
            <w:r>
              <w:t xml:space="preserve">Approximately</w:t>
            </w:r>
            <w:r>
              <w:t xml:space="preserve"> </w:t>
            </w:r>
            <w:r>
              <w:rPr>
                <w:b/>
                <w:bCs/>
              </w:rPr>
              <w:t xml:space="preserve">9.1%</w:t>
            </w:r>
          </w:p>
        </w:tc>
      </w:tr>
      <w:tr>
        <w:tc>
          <w:tcPr/>
          <w:p>
            <w:pPr>
              <w:pStyle w:val="Compact"/>
            </w:pPr>
            <w:r>
              <w:t xml:space="preserve">TMTT revenue growth</w:t>
            </w:r>
          </w:p>
        </w:tc>
        <w:tc>
          <w:tcPr/>
          <w:p>
            <w:pPr>
              <w:pStyle w:val="Compact"/>
              <w:jc w:val="right"/>
            </w:pPr>
            <w:r>
              <w:t xml:space="preserve">No quarterly target</w:t>
            </w:r>
          </w:p>
        </w:tc>
        <w:tc>
          <w:tcPr/>
          <w:p>
            <w:pPr>
              <w:pStyle w:val="Compact"/>
              <w:jc w:val="right"/>
            </w:pPr>
            <w:r>
              <w:t xml:space="preserve">Approximately</w:t>
            </w:r>
            <w:r>
              <w:t xml:space="preserve"> </w:t>
            </w:r>
            <w:r>
              <w:rPr>
                <w:b/>
                <w:bCs/>
              </w:rPr>
              <w:t xml:space="preserve">39.3%</w:t>
            </w:r>
          </w:p>
        </w:tc>
      </w:tr>
      <w:tr>
        <w:tc>
          <w:tcPr/>
          <w:p>
            <w:pPr>
              <w:pStyle w:val="Compact"/>
            </w:pPr>
            <w:r>
              <w:t xml:space="preserve">Surgical revenue growth</w:t>
            </w:r>
          </w:p>
        </w:tc>
        <w:tc>
          <w:tcPr/>
          <w:p>
            <w:pPr>
              <w:pStyle w:val="Compact"/>
              <w:jc w:val="right"/>
            </w:pPr>
            <w:r>
              <w:t xml:space="preserve">No quarterly target</w:t>
            </w:r>
          </w:p>
        </w:tc>
        <w:tc>
          <w:tcPr/>
          <w:p>
            <w:pPr>
              <w:pStyle w:val="Compact"/>
              <w:jc w:val="right"/>
            </w:pPr>
            <w:r>
              <w:t xml:space="preserve">Approximately</w:t>
            </w:r>
            <w:r>
              <w:t xml:space="preserve"> </w:t>
            </w:r>
            <w:r>
              <w:rPr>
                <w:b/>
                <w:bCs/>
              </w:rPr>
              <w:t xml:space="preserve">4.1%</w:t>
            </w:r>
          </w:p>
        </w:tc>
      </w:tr>
    </w:tbl>
    <w:p>
      <w:pPr>
        <w:pStyle w:val="BodyText"/>
      </w:pPr>
      <w:r>
        <w:t xml:space="preserve">The segment growth estimates translate to roughly</w:t>
      </w:r>
      <w:r>
        <w:t xml:space="preserve"> </w:t>
      </w:r>
      <w:r>
        <w:rPr>
          <w:b/>
          <w:bCs/>
        </w:rPr>
        <w:t xml:space="preserve">$1.23 billion of TAVR sales, $187 million of TMTT sales and $278 million of Surgical sales</w:t>
      </w:r>
      <w:r>
        <w:t xml:space="preserve">. (</w:t>
      </w:r>
      <w:hyperlink r:id="rId11">
        <w:r>
          <w:rPr>
            <w:rStyle w:val="Hyperlink"/>
          </w:rPr>
          <w:t xml:space="preserve">zacks.com</w:t>
        </w:r>
      </w:hyperlink>
      <w:r>
        <w:t xml:space="preserve">)</w:t>
      </w:r>
    </w:p>
    <w:p>
      <w:pPr>
        <w:pStyle w:val="BodyText"/>
      </w:pPr>
      <w:r>
        <w:t xml:space="preserve">Current full-year guidance calls for:</w:t>
      </w:r>
    </w:p>
    <w:p>
      <w:pPr>
        <w:pStyle w:val="Compact"/>
        <w:numPr>
          <w:ilvl w:val="0"/>
          <w:numId w:val="1002"/>
        </w:numPr>
      </w:pPr>
      <w:r>
        <w:t xml:space="preserve">Constant-currency sales growth of</w:t>
      </w:r>
      <w:r>
        <w:t xml:space="preserve"> </w:t>
      </w:r>
      <w:r>
        <w:rPr>
          <w:b/>
          <w:bCs/>
        </w:rPr>
        <w:t xml:space="preserve">9%–11%</w:t>
      </w:r>
    </w:p>
    <w:p>
      <w:pPr>
        <w:pStyle w:val="Compact"/>
        <w:numPr>
          <w:ilvl w:val="0"/>
          <w:numId w:val="1002"/>
        </w:numPr>
      </w:pPr>
      <w:r>
        <w:t xml:space="preserve">TAVR growth of</w:t>
      </w:r>
      <w:r>
        <w:t xml:space="preserve"> </w:t>
      </w:r>
      <w:r>
        <w:rPr>
          <w:b/>
          <w:bCs/>
        </w:rPr>
        <w:t xml:space="preserve">7%–9%</w:t>
      </w:r>
    </w:p>
    <w:p>
      <w:pPr>
        <w:pStyle w:val="Compact"/>
        <w:numPr>
          <w:ilvl w:val="0"/>
          <w:numId w:val="1002"/>
        </w:numPr>
      </w:pPr>
      <w:r>
        <w:t xml:space="preserve">TMTT sales of</w:t>
      </w:r>
      <w:r>
        <w:t xml:space="preserve"> </w:t>
      </w:r>
      <m:oMath>
        <m:r>
          <m:t>740</m:t>
        </m:r>
        <m:r>
          <m:t>m</m:t>
        </m:r>
        <m:r>
          <m:t>i</m:t>
        </m:r>
        <m:r>
          <m:t>l</m:t>
        </m:r>
        <m:r>
          <m:t>l</m:t>
        </m:r>
        <m:r>
          <m:t>i</m:t>
        </m:r>
        <m:r>
          <m:t>o</m:t>
        </m:r>
        <m:r>
          <m:t>n</m:t>
        </m:r>
        <m:r>
          <m:rPr>
            <m:sty m:val="p"/>
          </m:rPr>
          <m:t>–</m:t>
        </m:r>
      </m:oMath>
      <w:r>
        <w:rPr>
          <w:b/>
          <w:bCs/>
        </w:rPr>
        <w:t xml:space="preserve">780 million</w:t>
      </w:r>
    </w:p>
    <w:p>
      <w:pPr>
        <w:pStyle w:val="Compact"/>
        <w:numPr>
          <w:ilvl w:val="0"/>
          <w:numId w:val="1002"/>
        </w:numPr>
      </w:pPr>
      <w:r>
        <w:t xml:space="preserve">Mid-single-digit Surgical growth</w:t>
      </w:r>
    </w:p>
    <w:p>
      <w:pPr>
        <w:pStyle w:val="Compact"/>
        <w:numPr>
          <w:ilvl w:val="0"/>
          <w:numId w:val="1002"/>
        </w:numPr>
      </w:pPr>
      <w:r>
        <w:t xml:space="preserve">Adjusted EPS of</w:t>
      </w:r>
      <w:r>
        <w:t xml:space="preserve"> </w:t>
      </w:r>
      <m:oMath>
        <m:r>
          <m:t>2.95</m:t>
        </m:r>
        <m:r>
          <m:rPr>
            <m:sty m:val="p"/>
          </m:rPr>
          <m:t>–</m:t>
        </m:r>
      </m:oMath>
      <w:r>
        <w:rPr>
          <w:b/>
          <w:bCs/>
        </w:rPr>
        <w:t xml:space="preserve">3.05</w:t>
      </w:r>
    </w:p>
    <w:p>
      <w:pPr>
        <w:pStyle w:val="Compact"/>
        <w:numPr>
          <w:ilvl w:val="0"/>
          <w:numId w:val="1002"/>
        </w:numPr>
      </w:pPr>
      <w:r>
        <w:t xml:space="preserve">Gross margin of</w:t>
      </w:r>
      <w:r>
        <w:t xml:space="preserve"> </w:t>
      </w:r>
      <w:r>
        <w:rPr>
          <w:b/>
          <w:bCs/>
        </w:rPr>
        <w:t xml:space="preserve">78%–79%</w:t>
      </w:r>
    </w:p>
    <w:p>
      <w:pPr>
        <w:pStyle w:val="Compact"/>
        <w:numPr>
          <w:ilvl w:val="0"/>
          <w:numId w:val="1002"/>
        </w:numPr>
      </w:pPr>
      <w:r>
        <w:t xml:space="preserve">Operating margin at the high end of the original</w:t>
      </w:r>
      <w:r>
        <w:t xml:space="preserve"> </w:t>
      </w:r>
      <w:r>
        <w:rPr>
          <w:b/>
          <w:bCs/>
        </w:rPr>
        <w:t xml:space="preserve">28%–29%</w:t>
      </w:r>
      <w:r>
        <w:t xml:space="preserve"> </w:t>
      </w:r>
      <w:r>
        <w:t xml:space="preserve">range</w:t>
      </w:r>
    </w:p>
    <w:p>
      <w:pPr>
        <w:pStyle w:val="FirstParagraph"/>
      </w:pPr>
      <w:r>
        <w:t xml:space="preserve">Edwards raised both sales and EPS guidance after Q1, when revenue reached $1.65 billion, constant-currency growth was 12.7%, and adjusted EPS was $0.78. (</w:t>
      </w:r>
      <w:hyperlink r:id="rId12">
        <w:r>
          <w:rPr>
            <w:rStyle w:val="Hyperlink"/>
          </w:rPr>
          <w:t xml:space="preserve">ir.edwards.com</w:t>
        </w:r>
      </w:hyperlink>
      <w:r>
        <w:t xml:space="preserve">)</w:t>
      </w:r>
    </w:p>
    <w:p>
      <w:r>
        <w:pict>
          <v:rect style="width:0;height:1.5pt" o:hralign="center" o:hrstd="t" o:hr="t"/>
        </w:pict>
      </w:r>
    </w:p>
    <w:bookmarkEnd w:id="13"/>
    <w:bookmarkStart w:id="16" w:name="X6fe1202e813b42dd73b54b025fd2f5f60c000d4"/>
    <w:p>
      <w:pPr>
        <w:pStyle w:val="Heading2"/>
      </w:pPr>
      <w:r>
        <w:t xml:space="preserve">1. TAVR remains the main earnings driver</w:t>
      </w:r>
    </w:p>
    <w:p>
      <w:pPr>
        <w:pStyle w:val="FirstParagraph"/>
      </w:pPr>
      <w:r>
        <w:t xml:space="preserve">TAVR accounted for approximately 73% of Q1 sales, making it the principal determinant of the quarter.</w:t>
      </w:r>
    </w:p>
    <w:p>
      <w:pPr>
        <w:pStyle w:val="BodyText"/>
      </w:pPr>
      <w:r>
        <w:t xml:space="preserve">Q1 TAVR sales were $1.20 billion, up 11% at constant currency. Management attributed most of the performance to market growth, with some competitive benefit from a rival’s European exit and slight share improvement in the United States. Edwards subsequently raised full-year TAVR guidance to 7%–9%. (</w:t>
      </w:r>
      <w:hyperlink r:id="rId14">
        <w:r>
          <w:rPr>
            <w:rStyle w:val="Hyperlink"/>
          </w:rPr>
          <w:t xml:space="preserve">edwards.com</w:t>
        </w:r>
      </w:hyperlink>
      <w:r>
        <w:t xml:space="preserve">)</w:t>
      </w:r>
    </w:p>
    <w:bookmarkStart w:id="15" w:name="what-investors-should-watch"/>
    <w:p>
      <w:pPr>
        <w:pStyle w:val="Heading3"/>
      </w:pPr>
      <w:r>
        <w:t xml:space="preserve">What investors should watch</w:t>
      </w:r>
    </w:p>
    <w:p>
      <w:pPr>
        <w:pStyle w:val="Compact"/>
        <w:numPr>
          <w:ilvl w:val="0"/>
          <w:numId w:val="1003"/>
        </w:numPr>
      </w:pPr>
      <w:r>
        <w:rPr>
          <w:b/>
          <w:bCs/>
        </w:rPr>
        <w:t xml:space="preserve">U.S. procedure growth:</w:t>
      </w:r>
      <w:r>
        <w:t xml:space="preserve"> </w:t>
      </w:r>
      <w:r>
        <w:t xml:space="preserve">Is the focus on earlier diagnosis and proactive treatment translating into sustained volume?</w:t>
      </w:r>
    </w:p>
    <w:p>
      <w:pPr>
        <w:pStyle w:val="Compact"/>
        <w:numPr>
          <w:ilvl w:val="0"/>
          <w:numId w:val="1003"/>
        </w:numPr>
      </w:pPr>
      <w:r>
        <w:rPr>
          <w:b/>
          <w:bCs/>
        </w:rPr>
        <w:t xml:space="preserve">Competitive position:</w:t>
      </w:r>
      <w:r>
        <w:t xml:space="preserve"> </w:t>
      </w:r>
      <w:r>
        <w:t xml:space="preserve">Management was careful in Q1 not to overstate share gains. A second consecutive quarter of improvement would make the trend more credible.</w:t>
      </w:r>
    </w:p>
    <w:p>
      <w:pPr>
        <w:pStyle w:val="Compact"/>
        <w:numPr>
          <w:ilvl w:val="0"/>
          <w:numId w:val="1003"/>
        </w:numPr>
      </w:pPr>
      <w:r>
        <w:rPr>
          <w:b/>
          <w:bCs/>
        </w:rPr>
        <w:t xml:space="preserve">Europe:</w:t>
      </w:r>
      <w:r>
        <w:t xml:space="preserve"> </w:t>
      </w:r>
      <w:r>
        <w:t xml:space="preserve">Edwards benefited from a competitor’s exit, but the key question is how much of that benefit is now embedded in the comparison base.</w:t>
      </w:r>
    </w:p>
    <w:p>
      <w:pPr>
        <w:pStyle w:val="Compact"/>
        <w:numPr>
          <w:ilvl w:val="0"/>
          <w:numId w:val="1003"/>
        </w:numPr>
      </w:pPr>
      <w:r>
        <w:rPr>
          <w:b/>
          <w:bCs/>
        </w:rPr>
        <w:t xml:space="preserve">Pricing:</w:t>
      </w:r>
      <w:r>
        <w:t xml:space="preserve"> </w:t>
      </w:r>
      <w:r>
        <w:t xml:space="preserve">Stable global average selling prices would be reassuring.</w:t>
      </w:r>
    </w:p>
    <w:p>
      <w:pPr>
        <w:pStyle w:val="Compact"/>
        <w:numPr>
          <w:ilvl w:val="0"/>
          <w:numId w:val="1003"/>
        </w:numPr>
      </w:pPr>
      <w:r>
        <w:rPr>
          <w:b/>
          <w:bCs/>
        </w:rPr>
        <w:t xml:space="preserve">SAPIEN differentiation:</w:t>
      </w:r>
      <w:r>
        <w:t xml:space="preserve"> </w:t>
      </w:r>
      <w:r>
        <w:t xml:space="preserve">Commentary around long-term durability, PARTNER data and SAPIEN 3 Ultra RESILIA should indicate whether clinical evidence is influencing valve selection.</w:t>
      </w:r>
    </w:p>
    <w:p>
      <w:pPr>
        <w:pStyle w:val="FirstParagraph"/>
      </w:pPr>
      <w:r>
        <w:t xml:space="preserve">The Street’s approximately 9.1% TAVR growth estimate looks achievable after Q1’s 11%, but the market may require growth near or above 10% to view the quarter as a clear positive.</w:t>
      </w:r>
    </w:p>
    <w:p>
      <w:r>
        <w:pict>
          <v:rect style="width:0;height:1.5pt" o:hralign="center" o:hrstd="t" o:hr="t"/>
        </w:pict>
      </w:r>
    </w:p>
    <w:bookmarkEnd w:id="15"/>
    <w:bookmarkEnd w:id="16"/>
    <w:bookmarkStart w:id="18" w:name="Xb2506bfe77412077dfe54f7fcbadaa809549fbe"/>
    <w:p>
      <w:pPr>
        <w:pStyle w:val="Heading2"/>
      </w:pPr>
      <w:r>
        <w:t xml:space="preserve">2. CMS provides a meaningful longer-term catalyst</w:t>
      </w:r>
    </w:p>
    <w:p>
      <w:pPr>
        <w:pStyle w:val="FirstParagraph"/>
      </w:pPr>
      <w:r>
        <w:t xml:space="preserve">On June 15, CMS proposed major changes to Medicare’s TAVR coverage framework. The proposal would remove coverage-with-evidence-development requirements for symptomatic severe aortic stenosis, provide coverage for asymptomatic severe disease within approved studies, simplify patient evaluation and eliminate hospital-level procedural-volume requirements in favor of operator-level standards. CMS would also permit a single qualified TAVR operator rather than requiring joint intraoperative participation. (</w:t>
      </w:r>
      <w:hyperlink r:id="rId17">
        <w:r>
          <w:rPr>
            <w:rStyle w:val="Hyperlink"/>
          </w:rPr>
          <w:t xml:space="preserve">cms.gov</w:t>
        </w:r>
      </w:hyperlink>
      <w:r>
        <w:t xml:space="preserve">)</w:t>
      </w:r>
    </w:p>
    <w:p>
      <w:pPr>
        <w:pStyle w:val="BodyText"/>
      </w:pPr>
      <w:r>
        <w:t xml:space="preserve">This is potentially constructive for:</w:t>
      </w:r>
    </w:p>
    <w:p>
      <w:pPr>
        <w:pStyle w:val="Compact"/>
        <w:numPr>
          <w:ilvl w:val="0"/>
          <w:numId w:val="1004"/>
        </w:numPr>
      </w:pPr>
      <w:r>
        <w:t xml:space="preserve">Faster patient evaluation and referral</w:t>
      </w:r>
    </w:p>
    <w:p>
      <w:pPr>
        <w:pStyle w:val="Compact"/>
        <w:numPr>
          <w:ilvl w:val="0"/>
          <w:numId w:val="1004"/>
        </w:numPr>
      </w:pPr>
      <w:r>
        <w:t xml:space="preserve">More efficient procedures</w:t>
      </w:r>
    </w:p>
    <w:p>
      <w:pPr>
        <w:pStyle w:val="Compact"/>
        <w:numPr>
          <w:ilvl w:val="0"/>
          <w:numId w:val="1004"/>
        </w:numPr>
      </w:pPr>
      <w:r>
        <w:t xml:space="preserve">Expansion of TAVR programs</w:t>
      </w:r>
    </w:p>
    <w:p>
      <w:pPr>
        <w:pStyle w:val="Compact"/>
        <w:numPr>
          <w:ilvl w:val="0"/>
          <w:numId w:val="1004"/>
        </w:numPr>
      </w:pPr>
      <w:r>
        <w:t xml:space="preserve">Better utilization of existing structural-heart capacity</w:t>
      </w:r>
    </w:p>
    <w:p>
      <w:pPr>
        <w:pStyle w:val="Compact"/>
        <w:numPr>
          <w:ilvl w:val="0"/>
          <w:numId w:val="1004"/>
        </w:numPr>
      </w:pPr>
      <w:r>
        <w:t xml:space="preserve">Eventual treatment of more asymptomatic patients</w:t>
      </w:r>
    </w:p>
    <w:p>
      <w:pPr>
        <w:pStyle w:val="FirstParagraph"/>
      </w:pPr>
      <w:r>
        <w:t xml:space="preserve">However, it should be viewed primarily as a</w:t>
      </w:r>
      <w:r>
        <w:t xml:space="preserve"> </w:t>
      </w:r>
      <w:r>
        <w:rPr>
          <w:b/>
          <w:bCs/>
        </w:rPr>
        <w:t xml:space="preserve">2027-and-beyond catalyst</w:t>
      </w:r>
      <w:r>
        <w:t xml:space="preserve">, not a material contributor to Q2 revenue. The second comment period ended July 15, and the proposal is not yet the final coverage decision. Investors should listen for management’s assessment of the likely final language, timing and potential impact on center expansion and patient access.</w:t>
      </w:r>
    </w:p>
    <w:p>
      <w:r>
        <w:pict>
          <v:rect style="width:0;height:1.5pt" o:hralign="center" o:hrstd="t" o:hr="t"/>
        </w:pict>
      </w:r>
    </w:p>
    <w:bookmarkEnd w:id="18"/>
    <w:bookmarkStart w:id="20" w:name="Xdc7081926d0e03ce92253b5d774870aee8bf07a"/>
    <w:p>
      <w:pPr>
        <w:pStyle w:val="Heading2"/>
      </w:pPr>
      <w:r>
        <w:t xml:space="preserve">3. TMTT must demonstrate that Q1 was not a temporary surge</w:t>
      </w:r>
    </w:p>
    <w:p>
      <w:pPr>
        <w:pStyle w:val="FirstParagraph"/>
      </w:pPr>
      <w:r>
        <w:t xml:space="preserve">TMTT is the company’s most important incremental growth engine. Q1 sales reached approximately $173 million, rising about 42% at constant currency, driven by EVOQUE, PASCAL and the initial SAPIEN M3 launch.</w:t>
      </w:r>
    </w:p>
    <w:p>
      <w:pPr>
        <w:pStyle w:val="BodyText"/>
      </w:pPr>
      <w:r>
        <w:t xml:space="preserve">The Street expects approximately</w:t>
      </w:r>
      <w:r>
        <w:t xml:space="preserve"> </w:t>
      </w:r>
      <w:r>
        <w:rPr>
          <w:b/>
          <w:bCs/>
        </w:rPr>
        <w:t xml:space="preserve">$187 million</w:t>
      </w:r>
      <w:r>
        <w:t xml:space="preserve"> </w:t>
      </w:r>
      <w:r>
        <w:t xml:space="preserve">in Q2, or 39% growth. That would be a solid result, but only modest sequential growth from Q1.</w:t>
      </w:r>
    </w:p>
    <w:p>
      <w:pPr>
        <w:pStyle w:val="BodyText"/>
      </w:pPr>
      <w:r>
        <w:t xml:space="preserve">At the consensus estimate, first-half TMTT sales would be about</w:t>
      </w:r>
      <w:r>
        <w:t xml:space="preserve"> </w:t>
      </w:r>
      <m:oMath>
        <m:r>
          <m:t>360</m:t>
        </m:r>
        <m:r>
          <m:t>m</m:t>
        </m:r>
        <m:r>
          <m:t>i</m:t>
        </m:r>
        <m:r>
          <m:t>l</m:t>
        </m:r>
        <m:r>
          <m:t>l</m:t>
        </m:r>
        <m:r>
          <m:t>i</m:t>
        </m:r>
        <m:r>
          <m:t>o</m:t>
        </m:r>
        <m:r>
          <m:t>n</m:t>
        </m:r>
        <m:r>
          <m:rPr>
            <m:sty m:val="p"/>
          </m:rPr>
          <m:t>.</m:t>
        </m:r>
        <m:r>
          <m:t>E</m:t>
        </m:r>
        <m:r>
          <m:t>d</m:t>
        </m:r>
        <m:r>
          <m:t>w</m:t>
        </m:r>
        <m:r>
          <m:t>a</m:t>
        </m:r>
        <m:r>
          <m:t>r</m:t>
        </m:r>
        <m:r>
          <m:t>d</m:t>
        </m:r>
        <m:r>
          <m:t>s</m:t>
        </m:r>
        <m:r>
          <m:t>w</m:t>
        </m:r>
        <m:r>
          <m:t>o</m:t>
        </m:r>
        <m:r>
          <m:t>u</m:t>
        </m:r>
        <m:r>
          <m:t>l</m:t>
        </m:r>
        <m:r>
          <m:t>d</m:t>
        </m:r>
        <m:r>
          <m:t>t</m:t>
        </m:r>
        <m:r>
          <m:t>h</m:t>
        </m:r>
        <m:r>
          <m:t>e</m:t>
        </m:r>
        <m:r>
          <m:t>n</m:t>
        </m:r>
        <m:r>
          <m:t>n</m:t>
        </m:r>
        <m:r>
          <m:t>e</m:t>
        </m:r>
        <m:r>
          <m:t>e</m:t>
        </m:r>
        <m:r>
          <m:t>d</m:t>
        </m:r>
        <m:r>
          <m:t>r</m:t>
        </m:r>
        <m:r>
          <m:t>o</m:t>
        </m:r>
        <m:r>
          <m:t>u</m:t>
        </m:r>
        <m:r>
          <m:t>g</m:t>
        </m:r>
        <m:r>
          <m:t>h</m:t>
        </m:r>
        <m:r>
          <m:t>l</m:t>
        </m:r>
        <m:r>
          <m:t>y</m:t>
        </m:r>
        <m:r>
          <m:rPr>
            <m:sty m:val="p"/>
          </m:rPr>
          <m:t>*</m:t>
        </m:r>
        <m:r>
          <m:rPr>
            <m:sty m:val="p"/>
          </m:rPr>
          <m:t>*</m:t>
        </m:r>
      </m:oMath>
      <w:r>
        <w:t xml:space="preserve">380 million–$420 million in the second half** to reach its</w:t>
      </w:r>
      <w:r>
        <w:t xml:space="preserve"> </w:t>
      </w:r>
      <m:oMath>
        <m:r>
          <m:t>740</m:t>
        </m:r>
        <m:r>
          <m:t>m</m:t>
        </m:r>
        <m:r>
          <m:t>i</m:t>
        </m:r>
        <m:r>
          <m:t>l</m:t>
        </m:r>
        <m:r>
          <m:t>l</m:t>
        </m:r>
        <m:r>
          <m:t>i</m:t>
        </m:r>
        <m:r>
          <m:t>o</m:t>
        </m:r>
        <m:r>
          <m:t>n</m:t>
        </m:r>
        <m:r>
          <m:rPr>
            <m:sty m:val="p"/>
          </m:rPr>
          <m:t>–</m:t>
        </m:r>
      </m:oMath>
      <w:r>
        <w:t xml:space="preserve">780 million full-year range. That requirement appears manageable, but it assumes continued center expansion and stronger contributions from newer products.</w:t>
      </w:r>
    </w:p>
    <w:bookmarkStart w:id="19" w:name="key-questions"/>
    <w:p>
      <w:pPr>
        <w:pStyle w:val="Heading3"/>
      </w:pPr>
      <w:r>
        <w:t xml:space="preserve">Key questions</w:t>
      </w:r>
    </w:p>
    <w:p>
      <w:pPr>
        <w:pStyle w:val="Compact"/>
        <w:numPr>
          <w:ilvl w:val="0"/>
          <w:numId w:val="1005"/>
        </w:numPr>
      </w:pPr>
      <w:r>
        <w:t xml:space="preserve">How quickly are new hospitals adopting</w:t>
      </w:r>
      <w:r>
        <w:t xml:space="preserve"> </w:t>
      </w:r>
      <w:r>
        <w:rPr>
          <w:b/>
          <w:bCs/>
        </w:rPr>
        <w:t xml:space="preserve">EVOQUE</w:t>
      </w:r>
      <w:r>
        <w:t xml:space="preserve">?</w:t>
      </w:r>
    </w:p>
    <w:p>
      <w:pPr>
        <w:pStyle w:val="Compact"/>
        <w:numPr>
          <w:ilvl w:val="0"/>
          <w:numId w:val="1005"/>
        </w:numPr>
      </w:pPr>
      <w:r>
        <w:t xml:space="preserve">Is PASCAL continuing to gain utilization in mitral repair?</w:t>
      </w:r>
    </w:p>
    <w:p>
      <w:pPr>
        <w:pStyle w:val="Compact"/>
        <w:numPr>
          <w:ilvl w:val="0"/>
          <w:numId w:val="1005"/>
        </w:numPr>
      </w:pPr>
      <w:r>
        <w:t xml:space="preserve">How many centers are trained and active with</w:t>
      </w:r>
      <w:r>
        <w:t xml:space="preserve"> </w:t>
      </w:r>
      <w:r>
        <w:rPr>
          <w:b/>
          <w:bCs/>
        </w:rPr>
        <w:t xml:space="preserve">SAPIEN M3</w:t>
      </w:r>
      <w:r>
        <w:t xml:space="preserve">?</w:t>
      </w:r>
    </w:p>
    <w:p>
      <w:pPr>
        <w:pStyle w:val="Compact"/>
        <w:numPr>
          <w:ilvl w:val="0"/>
          <w:numId w:val="1005"/>
        </w:numPr>
      </w:pPr>
      <w:r>
        <w:t xml:space="preserve">Are structural-heart lab capacity or staffing constraints emerging?</w:t>
      </w:r>
    </w:p>
    <w:p>
      <w:pPr>
        <w:pStyle w:val="Compact"/>
        <w:numPr>
          <w:ilvl w:val="0"/>
          <w:numId w:val="1005"/>
        </w:numPr>
      </w:pPr>
      <w:r>
        <w:t xml:space="preserve">Is TMTT growth coming from broader market development, competitive share gains, or both?</w:t>
      </w:r>
    </w:p>
    <w:p>
      <w:pPr>
        <w:pStyle w:val="Compact"/>
        <w:numPr>
          <w:ilvl w:val="0"/>
          <w:numId w:val="1005"/>
        </w:numPr>
      </w:pPr>
      <w:r>
        <w:t xml:space="preserve">Are the planned Q4 launches of next-generation PASCAL and U.S. tricuspid PASCAL still on schedule?</w:t>
      </w:r>
    </w:p>
    <w:p>
      <w:pPr>
        <w:pStyle w:val="FirstParagraph"/>
      </w:pPr>
      <w:r>
        <w:t xml:space="preserve">A TMTT result above approximately $190 million, accompanied by unchanged or improved launch timelines, would strengthen the case that the business can exceed the upper end of full-year guidance.</w:t>
      </w:r>
    </w:p>
    <w:p>
      <w:r>
        <w:pict>
          <v:rect style="width:0;height:1.5pt" o:hralign="center" o:hrstd="t" o:hr="t"/>
        </w:pict>
      </w:r>
    </w:p>
    <w:bookmarkEnd w:id="19"/>
    <w:bookmarkEnd w:id="20"/>
    <w:bookmarkStart w:id="22" w:name="Xa5bc878400434d25c64499b0775cd130c20d2ea"/>
    <w:p>
      <w:pPr>
        <w:pStyle w:val="Heading2"/>
      </w:pPr>
      <w:r>
        <w:t xml:space="preserve">4. Margin quality may matter as much as EPS</w:t>
      </w:r>
    </w:p>
    <w:p>
      <w:pPr>
        <w:pStyle w:val="FirstParagraph"/>
      </w:pPr>
      <w:r>
        <w:t xml:space="preserve">Q1 adjusted operating margin was 31.4%, but management explicitly said it benefited from better sales and the planned phasing of strategic investments. Full-year guidance remains at the high end of 28%–29%, while R&amp;D is expected to represent approximately 17% of sales.</w:t>
      </w:r>
    </w:p>
    <w:p>
      <w:pPr>
        <w:pStyle w:val="BodyText"/>
      </w:pPr>
      <w:r>
        <w:t xml:space="preserve">That creates an important distinction:</w:t>
      </w:r>
    </w:p>
    <w:p>
      <w:pPr>
        <w:pStyle w:val="Compact"/>
        <w:numPr>
          <w:ilvl w:val="0"/>
          <w:numId w:val="1006"/>
        </w:numPr>
      </w:pPr>
      <w:r>
        <w:rPr>
          <w:b/>
          <w:bCs/>
        </w:rPr>
        <w:t xml:space="preserve">Positive:</w:t>
      </w:r>
      <w:r>
        <w:t xml:space="preserve"> </w:t>
      </w:r>
      <w:r>
        <w:t xml:space="preserve">EPS upside from stronger revenue, product mix, productivity and lower share count.</w:t>
      </w:r>
    </w:p>
    <w:p>
      <w:pPr>
        <w:pStyle w:val="Compact"/>
        <w:numPr>
          <w:ilvl w:val="0"/>
          <w:numId w:val="1006"/>
        </w:numPr>
      </w:pPr>
      <w:r>
        <w:rPr>
          <w:b/>
          <w:bCs/>
        </w:rPr>
        <w:t xml:space="preserve">Less positive:</w:t>
      </w:r>
      <w:r>
        <w:t xml:space="preserve"> </w:t>
      </w:r>
      <w:r>
        <w:t xml:space="preserve">EPS upside primarily because R&amp;D or commercial spending was delayed again.</w:t>
      </w:r>
    </w:p>
    <w:p>
      <w:pPr>
        <w:pStyle w:val="FirstParagraph"/>
      </w:pPr>
      <w:r>
        <w:t xml:space="preserve">Investors should expect some sequential margin normalization as Edwards funds clinical programs, manufacturing capacity and commercialization of TMTT products. Holding or raising full-year margin guidance while maintaining investment would be more valuable than an isolated Q2 EPS beat.</w:t>
      </w:r>
    </w:p>
    <w:p>
      <w:pPr>
        <w:pStyle w:val="BodyText"/>
      </w:pPr>
      <w:r>
        <w:t xml:space="preserve">This will also be the first earnings cycle with</w:t>
      </w:r>
      <w:r>
        <w:t xml:space="preserve"> </w:t>
      </w:r>
      <w:r>
        <w:rPr>
          <w:b/>
          <w:bCs/>
        </w:rPr>
        <w:t xml:space="preserve">Doretta Mistras as CFO</w:t>
      </w:r>
      <w:r>
        <w:t xml:space="preserve">. She succeeded longtime CFO Scott Ullem at the end of May, so commentary around capital allocation, margin expansion and investment priorities will receive additional attention. (</w:t>
      </w:r>
      <w:hyperlink r:id="rId21">
        <w:r>
          <w:rPr>
            <w:rStyle w:val="Hyperlink"/>
          </w:rPr>
          <w:t xml:space="preserve">ir.edwards.com</w:t>
        </w:r>
      </w:hyperlink>
      <w:r>
        <w:t xml:space="preserve">)</w:t>
      </w:r>
    </w:p>
    <w:p>
      <w:r>
        <w:pict>
          <v:rect style="width:0;height:1.5pt" o:hralign="center" o:hrstd="t" o:hr="t"/>
        </w:pict>
      </w:r>
    </w:p>
    <w:bookmarkEnd w:id="22"/>
    <w:bookmarkStart w:id="24" w:name="X3731bdaf9e20e28efaf220f446933d3659f8d3c"/>
    <w:p>
      <w:pPr>
        <w:pStyle w:val="Heading2"/>
      </w:pPr>
      <w:r>
        <w:t xml:space="preserve">5. Pipeline and evidence updates</w:t>
      </w:r>
    </w:p>
    <w:p>
      <w:pPr>
        <w:pStyle w:val="FirstParagraph"/>
      </w:pPr>
      <w:r>
        <w:t xml:space="preserve">Several developments could influence the medium-term outlook:</w:t>
      </w:r>
    </w:p>
    <w:p>
      <w:pPr>
        <w:pStyle w:val="Compact"/>
        <w:numPr>
          <w:ilvl w:val="0"/>
          <w:numId w:val="1007"/>
        </w:numPr>
      </w:pPr>
      <w:r>
        <w:rPr>
          <w:b/>
          <w:bCs/>
        </w:rPr>
        <w:t xml:space="preserve">RESILIA:</w:t>
      </w:r>
      <w:r>
        <w:t xml:space="preserve"> </w:t>
      </w:r>
      <w:r>
        <w:t xml:space="preserve">Edwards presented 10-year COMMENCE data in May, reporting strong long-term durability for its surgical RESILIA tissue platform. This supports INSPIRIS, KONECT and MITRIS positioning, although Surgical remains a slower-growth business. (</w:t>
      </w:r>
      <w:hyperlink r:id="rId23">
        <w:r>
          <w:rPr>
            <w:rStyle w:val="Hyperlink"/>
          </w:rPr>
          <w:t xml:space="preserve">ir.edwards.com</w:t>
        </w:r>
      </w:hyperlink>
      <w:r>
        <w:t xml:space="preserve">)</w:t>
      </w:r>
    </w:p>
    <w:p>
      <w:pPr>
        <w:pStyle w:val="Compact"/>
        <w:numPr>
          <w:ilvl w:val="0"/>
          <w:numId w:val="1007"/>
        </w:numPr>
      </w:pPr>
      <w:r>
        <w:rPr>
          <w:b/>
          <w:bCs/>
        </w:rPr>
        <w:t xml:space="preserve">PROGRESS:</w:t>
      </w:r>
      <w:r>
        <w:t xml:space="preserve"> </w:t>
      </w:r>
      <w:r>
        <w:t xml:space="preserve">Results in moderate aortic stenosis remain scheduled for the TCT conference later in 2026. A positive trial could materially expand the long-term TAVR market.</w:t>
      </w:r>
    </w:p>
    <w:p>
      <w:pPr>
        <w:pStyle w:val="Compact"/>
        <w:numPr>
          <w:ilvl w:val="0"/>
          <w:numId w:val="1007"/>
        </w:numPr>
      </w:pPr>
      <w:r>
        <w:rPr>
          <w:b/>
          <w:bCs/>
        </w:rPr>
        <w:t xml:space="preserve">SAPIEN X4:</w:t>
      </w:r>
      <w:r>
        <w:t xml:space="preserve"> </w:t>
      </w:r>
      <w:r>
        <w:t xml:space="preserve">Management previously said confirmatory evidence would be collected through 2026. Any timeline clarification would be useful.</w:t>
      </w:r>
    </w:p>
    <w:p>
      <w:pPr>
        <w:pStyle w:val="Compact"/>
        <w:numPr>
          <w:ilvl w:val="0"/>
          <w:numId w:val="1007"/>
        </w:numPr>
      </w:pPr>
      <w:r>
        <w:rPr>
          <w:b/>
          <w:bCs/>
        </w:rPr>
        <w:t xml:space="preserve">PASCAL:</w:t>
      </w:r>
      <w:r>
        <w:t xml:space="preserve"> </w:t>
      </w:r>
      <w:r>
        <w:t xml:space="preserve">Next-generation mitral and tricuspid technology and the U.S. tricuspid launch are expected in Q4.</w:t>
      </w:r>
    </w:p>
    <w:p>
      <w:pPr>
        <w:pStyle w:val="Compact"/>
        <w:numPr>
          <w:ilvl w:val="0"/>
          <w:numId w:val="1007"/>
        </w:numPr>
      </w:pPr>
      <w:r>
        <w:rPr>
          <w:b/>
          <w:bCs/>
        </w:rPr>
        <w:t xml:space="preserve">Surgical pipeline:</w:t>
      </w:r>
      <w:r>
        <w:t xml:space="preserve"> </w:t>
      </w:r>
      <w:r>
        <w:t xml:space="preserve">TRIFORMIS and the preliminary introduction of surgical left-atrial-appendage closure are expected during the second half.</w:t>
      </w:r>
    </w:p>
    <w:p>
      <w:pPr>
        <w:pStyle w:val="FirstParagraph"/>
      </w:pPr>
      <w:r>
        <w:t xml:space="preserve">These are unlikely to drive Q2 numbers but are central to whether Edwards can sustain approximately 10% annual sales growth beyond 2026.</w:t>
      </w:r>
    </w:p>
    <w:p>
      <w:r>
        <w:pict>
          <v:rect style="width:0;height:1.5pt" o:hralign="center" o:hrstd="t" o:hr="t"/>
        </w:pict>
      </w:r>
    </w:p>
    <w:bookmarkEnd w:id="24"/>
    <w:bookmarkStart w:id="26" w:name="X506e5c970c3844946ac5852d020255c4069e2fb"/>
    <w:p>
      <w:pPr>
        <w:pStyle w:val="Heading2"/>
      </w:pPr>
      <w:r>
        <w:t xml:space="preserve">6. Other item: FTC settlement</w:t>
      </w:r>
    </w:p>
    <w:p>
      <w:pPr>
        <w:pStyle w:val="FirstParagraph"/>
      </w:pPr>
      <w:r>
        <w:t xml:space="preserve">In July, Edwards agreed to pay a</w:t>
      </w:r>
      <w:r>
        <w:t xml:space="preserve"> </w:t>
      </w:r>
      <w:r>
        <w:rPr>
          <w:b/>
          <w:bCs/>
        </w:rPr>
        <w:t xml:space="preserve">$10 million civil penalty</w:t>
      </w:r>
      <w:r>
        <w:t xml:space="preserve"> </w:t>
      </w:r>
      <w:r>
        <w:t xml:space="preserve">to settle FTC allegations that its JC Medical acquisition did not comply with Hart-Scott-Rodino pre-merger filing requirements. The financial amount is immaterial relative to Edwards’ earnings and cash position, but the associated prior-notice provisions could modestly complicate future transaction activity. (</w:t>
      </w:r>
      <w:hyperlink r:id="rId25">
        <w:r>
          <w:rPr>
            <w:rStyle w:val="Hyperlink"/>
          </w:rPr>
          <w:t xml:space="preserve">ftc.gov</w:t>
        </w:r>
      </w:hyperlink>
      <w:r>
        <w:t xml:space="preserve">)</w:t>
      </w:r>
    </w:p>
    <w:p>
      <w:pPr>
        <w:pStyle w:val="BodyText"/>
      </w:pPr>
      <w:r>
        <w:t xml:space="preserve">This should not be an earnings driver unless management identifies additional legal costs or strategic restrictions.</w:t>
      </w:r>
    </w:p>
    <w:p>
      <w:r>
        <w:pict>
          <v:rect style="width:0;height:1.5pt" o:hralign="center" o:hrstd="t" o:hr="t"/>
        </w:pict>
      </w:r>
    </w:p>
    <w:bookmarkEnd w:id="26"/>
    <w:bookmarkStart w:id="30" w:name="earnings-scorecard"/>
    <w:p>
      <w:pPr>
        <w:pStyle w:val="Heading2"/>
      </w:pPr>
      <w:r>
        <w:t xml:space="preserve">Earnings scorecard</w:t>
      </w:r>
    </w:p>
    <w:bookmarkStart w:id="27" w:name="bullish-outcome"/>
    <w:p>
      <w:pPr>
        <w:pStyle w:val="Heading3"/>
      </w:pPr>
      <w:r>
        <w:t xml:space="preserve">Bullish outcome</w:t>
      </w:r>
    </w:p>
    <w:p>
      <w:pPr>
        <w:pStyle w:val="Compact"/>
        <w:numPr>
          <w:ilvl w:val="0"/>
          <w:numId w:val="1008"/>
        </w:numPr>
      </w:pPr>
      <w:r>
        <w:t xml:space="preserve">Revenue above roughly</w:t>
      </w:r>
      <w:r>
        <w:t xml:space="preserve"> </w:t>
      </w:r>
      <w:r>
        <w:rPr>
          <w:b/>
          <w:bCs/>
        </w:rPr>
        <w:t xml:space="preserve">$1.72 billion</w:t>
      </w:r>
    </w:p>
    <w:p>
      <w:pPr>
        <w:pStyle w:val="Compact"/>
        <w:numPr>
          <w:ilvl w:val="0"/>
          <w:numId w:val="1008"/>
        </w:numPr>
      </w:pPr>
      <w:r>
        <w:t xml:space="preserve">Adjusted EPS of at least</w:t>
      </w:r>
      <w:r>
        <w:t xml:space="preserve"> </w:t>
      </w:r>
      <m:oMath>
        <m:r>
          <m:t>0.75</m:t>
        </m:r>
        <m:r>
          <m:rPr>
            <m:sty m:val="p"/>
          </m:rPr>
          <m:t>–</m:t>
        </m:r>
      </m:oMath>
      <w:r>
        <w:rPr>
          <w:b/>
          <w:bCs/>
        </w:rPr>
        <w:t xml:space="preserve">0.76</w:t>
      </w:r>
    </w:p>
    <w:p>
      <w:pPr>
        <w:pStyle w:val="Compact"/>
        <w:numPr>
          <w:ilvl w:val="0"/>
          <w:numId w:val="1008"/>
        </w:numPr>
      </w:pPr>
      <w:r>
        <w:t xml:space="preserve">TAVR growth of</w:t>
      </w:r>
      <w:r>
        <w:t xml:space="preserve"> </w:t>
      </w:r>
      <w:r>
        <w:rPr>
          <w:b/>
          <w:bCs/>
        </w:rPr>
        <w:t xml:space="preserve">10% or better</w:t>
      </w:r>
    </w:p>
    <w:p>
      <w:pPr>
        <w:pStyle w:val="Compact"/>
        <w:numPr>
          <w:ilvl w:val="0"/>
          <w:numId w:val="1008"/>
        </w:numPr>
      </w:pPr>
      <w:r>
        <w:t xml:space="preserve">TMTT sales above approximately</w:t>
      </w:r>
      <w:r>
        <w:t xml:space="preserve"> </w:t>
      </w:r>
      <w:r>
        <w:rPr>
          <w:b/>
          <w:bCs/>
        </w:rPr>
        <w:t xml:space="preserve">$190 million</w:t>
      </w:r>
    </w:p>
    <w:p>
      <w:pPr>
        <w:pStyle w:val="Compact"/>
        <w:numPr>
          <w:ilvl w:val="0"/>
          <w:numId w:val="1008"/>
        </w:numPr>
      </w:pPr>
      <w:r>
        <w:t xml:space="preserve">Stable pricing and continued U.S. competitive momentum</w:t>
      </w:r>
    </w:p>
    <w:p>
      <w:pPr>
        <w:pStyle w:val="Compact"/>
        <w:numPr>
          <w:ilvl w:val="0"/>
          <w:numId w:val="1008"/>
        </w:numPr>
      </w:pPr>
      <w:r>
        <w:t xml:space="preserve">Higher full-year revenue, TAVR or EPS guidance</w:t>
      </w:r>
    </w:p>
    <w:p>
      <w:pPr>
        <w:pStyle w:val="Compact"/>
        <w:numPr>
          <w:ilvl w:val="0"/>
          <w:numId w:val="1008"/>
        </w:numPr>
      </w:pPr>
      <w:r>
        <w:t xml:space="preserve">Confidence that CMS changes can improve access beginning in 2027</w:t>
      </w:r>
    </w:p>
    <w:bookmarkEnd w:id="27"/>
    <w:bookmarkStart w:id="28" w:name="base-case-outcome"/>
    <w:p>
      <w:pPr>
        <w:pStyle w:val="Heading3"/>
      </w:pPr>
      <w:r>
        <w:t xml:space="preserve">Base-case outcome</w:t>
      </w:r>
    </w:p>
    <w:p>
      <w:pPr>
        <w:pStyle w:val="Compact"/>
        <w:numPr>
          <w:ilvl w:val="0"/>
          <w:numId w:val="1009"/>
        </w:numPr>
      </w:pPr>
      <w:r>
        <w:t xml:space="preserve">Revenue around</w:t>
      </w:r>
      <w:r>
        <w:t xml:space="preserve"> </w:t>
      </w:r>
      <m:oMath>
        <m:r>
          <m:t>1.69</m:t>
        </m:r>
        <m:r>
          <m:t>b</m:t>
        </m:r>
        <m:r>
          <m:t>i</m:t>
        </m:r>
        <m:r>
          <m:t>l</m:t>
        </m:r>
        <m:r>
          <m:t>l</m:t>
        </m:r>
        <m:r>
          <m:t>i</m:t>
        </m:r>
        <m:r>
          <m:t>o</m:t>
        </m:r>
        <m:r>
          <m:t>n</m:t>
        </m:r>
        <m:r>
          <m:rPr>
            <m:sty m:val="p"/>
          </m:rPr>
          <m:t>–</m:t>
        </m:r>
      </m:oMath>
      <w:r>
        <w:rPr>
          <w:b/>
          <w:bCs/>
        </w:rPr>
        <w:t xml:space="preserve">1.71 billion</w:t>
      </w:r>
    </w:p>
    <w:p>
      <w:pPr>
        <w:pStyle w:val="Compact"/>
        <w:numPr>
          <w:ilvl w:val="0"/>
          <w:numId w:val="1009"/>
        </w:numPr>
      </w:pPr>
      <w:r>
        <w:t xml:space="preserve">EPS around</w:t>
      </w:r>
      <w:r>
        <w:t xml:space="preserve"> </w:t>
      </w:r>
      <m:oMath>
        <m:r>
          <m:t>0.73</m:t>
        </m:r>
        <m:r>
          <m:rPr>
            <m:sty m:val="p"/>
          </m:rPr>
          <m:t>–</m:t>
        </m:r>
      </m:oMath>
      <w:r>
        <w:rPr>
          <w:b/>
          <w:bCs/>
        </w:rPr>
        <w:t xml:space="preserve">0.75</w:t>
      </w:r>
    </w:p>
    <w:p>
      <w:pPr>
        <w:pStyle w:val="Compact"/>
        <w:numPr>
          <w:ilvl w:val="0"/>
          <w:numId w:val="1009"/>
        </w:numPr>
      </w:pPr>
      <w:r>
        <w:t xml:space="preserve">TAVR growth near</w:t>
      </w:r>
      <w:r>
        <w:t xml:space="preserve"> </w:t>
      </w:r>
      <w:r>
        <w:rPr>
          <w:b/>
          <w:bCs/>
        </w:rPr>
        <w:t xml:space="preserve">9%</w:t>
      </w:r>
    </w:p>
    <w:p>
      <w:pPr>
        <w:pStyle w:val="Compact"/>
        <w:numPr>
          <w:ilvl w:val="0"/>
          <w:numId w:val="1009"/>
        </w:numPr>
      </w:pPr>
      <w:r>
        <w:t xml:space="preserve">TMTT around</w:t>
      </w:r>
      <w:r>
        <w:t xml:space="preserve"> </w:t>
      </w:r>
      <m:oMath>
        <m:r>
          <m:t>185</m:t>
        </m:r>
        <m:r>
          <m:t>m</m:t>
        </m:r>
        <m:r>
          <m:t>i</m:t>
        </m:r>
        <m:r>
          <m:t>l</m:t>
        </m:r>
        <m:r>
          <m:t>l</m:t>
        </m:r>
        <m:r>
          <m:t>i</m:t>
        </m:r>
        <m:r>
          <m:t>o</m:t>
        </m:r>
        <m:r>
          <m:t>n</m:t>
        </m:r>
        <m:r>
          <m:rPr>
            <m:sty m:val="p"/>
          </m:rPr>
          <m:t>–</m:t>
        </m:r>
      </m:oMath>
      <w:r>
        <w:rPr>
          <w:b/>
          <w:bCs/>
        </w:rPr>
        <w:t xml:space="preserve">190 million</w:t>
      </w:r>
    </w:p>
    <w:p>
      <w:pPr>
        <w:pStyle w:val="Compact"/>
        <w:numPr>
          <w:ilvl w:val="0"/>
          <w:numId w:val="1009"/>
        </w:numPr>
      </w:pPr>
      <w:r>
        <w:t xml:space="preserve">Full-year guidance reiterated, perhaps with a more confident tone</w:t>
      </w:r>
    </w:p>
    <w:p>
      <w:pPr>
        <w:pStyle w:val="Compact"/>
        <w:numPr>
          <w:ilvl w:val="0"/>
          <w:numId w:val="1009"/>
        </w:numPr>
      </w:pPr>
      <w:r>
        <w:t xml:space="preserve">Margins normalize as investment spending increases</w:t>
      </w:r>
    </w:p>
    <w:bookmarkEnd w:id="28"/>
    <w:bookmarkStart w:id="29" w:name="bearish-outcome"/>
    <w:p>
      <w:pPr>
        <w:pStyle w:val="Heading3"/>
      </w:pPr>
      <w:r>
        <w:t xml:space="preserve">Bearish outcome</w:t>
      </w:r>
    </w:p>
    <w:p>
      <w:pPr>
        <w:pStyle w:val="Compact"/>
        <w:numPr>
          <w:ilvl w:val="0"/>
          <w:numId w:val="1010"/>
        </w:numPr>
      </w:pPr>
      <w:r>
        <w:t xml:space="preserve">Revenue below approximately</w:t>
      </w:r>
      <w:r>
        <w:t xml:space="preserve"> </w:t>
      </w:r>
      <w:r>
        <w:rPr>
          <w:b/>
          <w:bCs/>
        </w:rPr>
        <w:t xml:space="preserve">$1.68 billion</w:t>
      </w:r>
    </w:p>
    <w:p>
      <w:pPr>
        <w:pStyle w:val="Compact"/>
        <w:numPr>
          <w:ilvl w:val="0"/>
          <w:numId w:val="1010"/>
        </w:numPr>
      </w:pPr>
      <w:r>
        <w:t xml:space="preserve">TAVR growth below</w:t>
      </w:r>
      <w:r>
        <w:t xml:space="preserve"> </w:t>
      </w:r>
      <w:r>
        <w:rPr>
          <w:b/>
          <w:bCs/>
        </w:rPr>
        <w:t xml:space="preserve">8%</w:t>
      </w:r>
    </w:p>
    <w:p>
      <w:pPr>
        <w:pStyle w:val="Compact"/>
        <w:numPr>
          <w:ilvl w:val="0"/>
          <w:numId w:val="1010"/>
        </w:numPr>
      </w:pPr>
      <w:r>
        <w:t xml:space="preserve">TMTT below roughly</w:t>
      </w:r>
      <w:r>
        <w:t xml:space="preserve"> </w:t>
      </w:r>
      <w:r>
        <w:rPr>
          <w:b/>
          <w:bCs/>
        </w:rPr>
        <w:t xml:space="preserve">$180 million</w:t>
      </w:r>
    </w:p>
    <w:p>
      <w:pPr>
        <w:pStyle w:val="Compact"/>
        <w:numPr>
          <w:ilvl w:val="0"/>
          <w:numId w:val="1010"/>
        </w:numPr>
      </w:pPr>
      <w:r>
        <w:t xml:space="preserve">Competitive gains described as temporary or limited to Europe</w:t>
      </w:r>
    </w:p>
    <w:p>
      <w:pPr>
        <w:pStyle w:val="Compact"/>
        <w:numPr>
          <w:ilvl w:val="0"/>
          <w:numId w:val="1010"/>
        </w:numPr>
      </w:pPr>
      <w:r>
        <w:t xml:space="preserve">Guidance held despite Q1 outperformance, implying weaker second-half trends</w:t>
      </w:r>
    </w:p>
    <w:p>
      <w:pPr>
        <w:pStyle w:val="Compact"/>
        <w:numPr>
          <w:ilvl w:val="0"/>
          <w:numId w:val="1010"/>
        </w:numPr>
      </w:pPr>
      <w:r>
        <w:t xml:space="preserve">Gross-margin pressure or heavier spending without corresponding revenue upside</w:t>
      </w:r>
    </w:p>
    <w:bookmarkEnd w:id="29"/>
    <w:bookmarkEnd w:id="30"/>
    <w:bookmarkStart w:id="31" w:name="bottom-line"/>
    <w:p>
      <w:pPr>
        <w:pStyle w:val="Heading2"/>
      </w:pPr>
      <w:r>
        <w:t xml:space="preserve">Bottom line</w:t>
      </w:r>
    </w:p>
    <w:p>
      <w:pPr>
        <w:pStyle w:val="FirstParagraph"/>
      </w:pPr>
      <w:r>
        <w:t xml:space="preserve">EW enters the report with a solid fundamental setup but a reasonably demanding bar. Q1 already established strong TAVR and TMTT momentum and produced an initial guidance increase. As a result, simply landing at the midpoint of Q2 guidance may not be enough.</w:t>
      </w:r>
    </w:p>
    <w:p>
      <w:pPr>
        <w:pStyle w:val="BodyText"/>
      </w:pPr>
      <w:r>
        <w:t xml:space="preserve">The most constructive result would show that</w:t>
      </w:r>
      <w:r>
        <w:t xml:space="preserve"> </w:t>
      </w:r>
      <w:r>
        <w:rPr>
          <w:b/>
          <w:bCs/>
        </w:rPr>
        <w:t xml:space="preserve">TAVR remains near double-digit growth, TMTT is scaling sequentially, and Edwards can preserve full-year margin leverage while funding its pipeline</w:t>
      </w:r>
      <w:r>
        <w:t xml:space="preserve">. More than the headline EPS figure, management’s guidance and commentary on U.S. TAVR demand, TMTT center expansion and the CMS proposal are likely to determine the stock’s reaction.</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ir.edwards.com/news/news-details/2026/Edwards-Lifesciences-Announces-Appointment-of-CFO/default.aspx?utm_source=openai" TargetMode="External" /><Relationship Type="http://schemas.openxmlformats.org/officeDocument/2006/relationships/hyperlink" Id="rId12" Target="https://ir.edwards.com/news/news-details/2026/Edwards-Lifesciences-Reports-First-Quarter-Results/default.aspx?utm_source=openai" TargetMode="External" /><Relationship Type="http://schemas.openxmlformats.org/officeDocument/2006/relationships/hyperlink" Id="rId23" Target="https://ir.edwards.com/news/news-details/2026/Ten-Year-Pivotal-Data-Demonstrate-Long-Term-Durability-of-Edwards-Lifesciences-Resilia-Tissue/default.aspx?utm_source=openai" TargetMode="External" /><Relationship Type="http://schemas.openxmlformats.org/officeDocument/2006/relationships/hyperlink" Id="rId17" Target="https://www.cms.gov/medicare-coverage-database/view/ncacal-decision-memo.aspx?NCAId=321&amp;bc=AAAAAAAAABAA&amp;proposed=Y" TargetMode="External" /><Relationship Type="http://schemas.openxmlformats.org/officeDocument/2006/relationships/hyperlink" Id="rId9" Target="https://www.edwards.com/gb/newsroom/news/2026-07-16-edwards-lifesciences-to-host-earnings-conference-c-0f06437?utm_source=openai" TargetMode="External" /><Relationship Type="http://schemas.openxmlformats.org/officeDocument/2006/relationships/hyperlink" Id="rId14" Target="https://www.edwards.com/newsroom/news/2026-04-23-edwards-lifesciences-reports-first-quarter-results-1bcd27a?utm_source=openai" TargetMode="External" /><Relationship Type="http://schemas.openxmlformats.org/officeDocument/2006/relationships/hyperlink" Id="rId25" Target="https://www.ftc.gov/news-events/news/press-releases/2026/07/ftc-secures-12-million-penalties-pre-merger-reporting-act-violations?utm_source=openai" TargetMode="External" /><Relationship Type="http://schemas.openxmlformats.org/officeDocument/2006/relationships/hyperlink" Id="rId11" Target="https://www.zacks.com/stock/news/2956251/edwards-q2-earnings-on-the-horizon-whats-in-the-cards?utm_source=openai" TargetMode="External" /></Relationships>
</file>

<file path=word/_rels/footnotes.xml.rels><?xml version="1.0" encoding="UTF-8"?><Relationships xmlns="http://schemas.openxmlformats.org/package/2006/relationships"><Relationship Type="http://schemas.openxmlformats.org/officeDocument/2006/relationships/hyperlink" Id="rId21" Target="https://ir.edwards.com/news/news-details/2026/Edwards-Lifesciences-Announces-Appointment-of-CFO/default.aspx?utm_source=openai" TargetMode="External" /><Relationship Type="http://schemas.openxmlformats.org/officeDocument/2006/relationships/hyperlink" Id="rId12" Target="https://ir.edwards.com/news/news-details/2026/Edwards-Lifesciences-Reports-First-Quarter-Results/default.aspx?utm_source=openai" TargetMode="External" /><Relationship Type="http://schemas.openxmlformats.org/officeDocument/2006/relationships/hyperlink" Id="rId23" Target="https://ir.edwards.com/news/news-details/2026/Ten-Year-Pivotal-Data-Demonstrate-Long-Term-Durability-of-Edwards-Lifesciences-Resilia-Tissue/default.aspx?utm_source=openai" TargetMode="External" /><Relationship Type="http://schemas.openxmlformats.org/officeDocument/2006/relationships/hyperlink" Id="rId17" Target="https://www.cms.gov/medicare-coverage-database/view/ncacal-decision-memo.aspx?NCAId=321&amp;bc=AAAAAAAAABAA&amp;proposed=Y" TargetMode="External" /><Relationship Type="http://schemas.openxmlformats.org/officeDocument/2006/relationships/hyperlink" Id="rId9" Target="https://www.edwards.com/gb/newsroom/news/2026-07-16-edwards-lifesciences-to-host-earnings-conference-c-0f06437?utm_source=openai" TargetMode="External" /><Relationship Type="http://schemas.openxmlformats.org/officeDocument/2006/relationships/hyperlink" Id="rId14" Target="https://www.edwards.com/newsroom/news/2026-04-23-edwards-lifesciences-reports-first-quarter-results-1bcd27a?utm_source=openai" TargetMode="External" /><Relationship Type="http://schemas.openxmlformats.org/officeDocument/2006/relationships/hyperlink" Id="rId25" Target="https://www.ftc.gov/news-events/news/press-releases/2026/07/ftc-secures-12-million-penalties-pre-merger-reporting-act-violations?utm_source=openai" TargetMode="External" /><Relationship Type="http://schemas.openxmlformats.org/officeDocument/2006/relationships/hyperlink" Id="rId11" Target="https://www.zacks.com/stock/news/2956251/edwards-q2-earnings-on-the-horizon-whats-in-the-card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2026-07-23T01:03:46Z</dcterms:created>
  <dcterms:modified xsi:type="dcterms:W3CDTF">2026-07-23T01:03:46Z</dcterms:modified>
</cp:coreProperties>
</file>

<file path=docProps/custom.xml><?xml version="1.0" encoding="utf-8"?>
<Properties xmlns="http://schemas.openxmlformats.org/officeDocument/2006/custom-properties" xmlns:vt="http://schemas.openxmlformats.org/officeDocument/2006/docPropsVTypes"/>
</file>