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8c848d88ee9cfb8484172ab93466489dabdd366"/>
    <w:p>
      <w:pPr>
        <w:pStyle w:val="Heading1"/>
      </w:pPr>
      <w:r>
        <w:t xml:space="preserve">Edwards Lifesciences (NYSE: EW)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July 23,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I treat this as a pre-release preview for Edwards’</w:t>
      </w:r>
      <w:r>
        <w:t xml:space="preserve"> </w:t>
      </w:r>
      <w:r>
        <w:rPr>
          <w:b/>
          <w:bCs/>
        </w:rPr>
        <w:t xml:space="preserve">2Q26 earnings call scheduled for July 23, 2026</w:t>
      </w:r>
      <w:r>
        <w:t xml:space="preserve">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Edwards enters 2Q with a favorable fundamental setup but a higher execution bar following a strong 1Q. The core issue is whether the company can demonstrate that the acceleration in</w:t>
      </w:r>
      <w:r>
        <w:t xml:space="preserve"> </w:t>
      </w:r>
      <w:r>
        <w:rPr>
          <w:b/>
          <w:bCs/>
        </w:rPr>
        <w:t xml:space="preserve">TAVR</w:t>
      </w:r>
      <w:r>
        <w:t xml:space="preserve"> </w:t>
      </w:r>
      <w:r>
        <w:t xml:space="preserve">is durable—not merely a favorable first-quarter mix of easier comparisons, foreign exchange, and modest competitive benefits—while keeping</w:t>
      </w:r>
      <w:r>
        <w:t xml:space="preserve"> </w:t>
      </w:r>
      <w:r>
        <w:rPr>
          <w:b/>
          <w:bCs/>
        </w:rPr>
        <w:t xml:space="preserve">TMTT</w:t>
      </w:r>
      <w:r>
        <w:t xml:space="preserve"> </w:t>
      </w:r>
      <w:r>
        <w:t xml:space="preserve">on its path toward $2 billion of revenue in 2030.</w:t>
      </w:r>
    </w:p>
    <w:p>
      <w:pPr>
        <w:pStyle w:val="BodyText"/>
      </w:pPr>
      <w:r>
        <w:t xml:space="preserve">The near-term debate is less about whether Edwards grows and more about: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TAVR growth quality:</w:t>
      </w:r>
      <w:r>
        <w:t xml:space="preserve"> </w:t>
      </w:r>
      <w:r>
        <w:t xml:space="preserve">Can underlying TAVR growth remain above the company’s 7%–9% full-year guide despite more demanding second-half comparisons?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TMTT commercialization:</w:t>
      </w:r>
      <w:r>
        <w:t xml:space="preserve"> </w:t>
      </w:r>
      <w:r>
        <w:t xml:space="preserve">Are EVOQUE, PASCAL, and SAPIEN M3 producing the expected ramp in procedure volume, center adoption, and share?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Guidance upside:</w:t>
      </w:r>
      <w:r>
        <w:t xml:space="preserve"> </w:t>
      </w:r>
      <w:r>
        <w:t xml:space="preserve">Is 1Q strength translating into another full-year raise, or does management retain a conservative posture because 2H26 comparisons become tougher?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 and investment phasing:</w:t>
      </w:r>
      <w:r>
        <w:t xml:space="preserve"> </w:t>
      </w:r>
      <w:r>
        <w:t xml:space="preserve">Can Edwards preserve its full-year operating-margin outlook while funding product launches, clinical evidence, and capacity expansion?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Catalysts and access:</w:t>
      </w:r>
      <w:r>
        <w:t xml:space="preserve"> </w:t>
      </w:r>
      <w:r>
        <w:t xml:space="preserve">What is the latest on the U.S. TAVR coverage reconsideration, the upcoming PROGRESS trial readout, and timing for next-generation platforms?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has-guided-to-for-2q26"/>
    <w:p>
      <w:pPr>
        <w:pStyle w:val="Heading2"/>
      </w:pPr>
      <w:r>
        <w:t xml:space="preserve">What management has guided to for 2Q26</w:t>
      </w:r>
    </w:p>
    <w:p>
      <w:pPr>
        <w:pStyle w:val="FirstParagraph"/>
      </w:pPr>
      <w:r>
        <w:t xml:space="preserve">Edwards’ own disclosed 2Q26 outlook is the most important reported benchmark: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 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1.66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1.74B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$1.53B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0.70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~9%</w:t>
            </w:r>
          </w:p>
        </w:tc>
      </w:tr>
    </w:tbl>
    <w:p>
      <w:pPr>
        <w:pStyle w:val="BodyText"/>
      </w:pPr>
      <w:r>
        <w:t xml:space="preserve">The setup calls for a second consecutive double-digit sales-growth quarter at the midpoint. Importantly, the EPS guide implies a sequential decline from 1Q’s $0.78, consistent with management’s prior comments that 1Q profitability benefited from the planned timing of investments rather than representing a new quarterly run rate.</w:t>
      </w:r>
    </w:p>
    <w:p>
      <w:pPr>
        <w:pStyle w:val="BodyText"/>
      </w:pPr>
      <w:r>
        <w:rPr>
          <w:b/>
          <w:bCs/>
        </w:rPr>
        <w:t xml:space="preserve">Takeaway:</w:t>
      </w:r>
      <w:r>
        <w:t xml:space="preserve"> </w:t>
      </w:r>
      <w:r>
        <w:t xml:space="preserve">A modest sales/EPS beat may not be sufficient by itself. Investors will likely focus more on segment growth, the magnitude of any full-year guidance change, and management’s confidence in 2H execution.</w:t>
      </w:r>
    </w:p>
    <w:p>
      <w:r>
        <w:pict>
          <v:rect style="width:0;height:1.5pt" o:hralign="center" o:hrstd="t" o:hr="t"/>
        </w:pict>
      </w:r>
    </w:p>
    <w:bookmarkEnd w:id="10"/>
    <w:bookmarkStart w:id="11" w:name="why-2q-matters-after-a-strong-1q"/>
    <w:p>
      <w:pPr>
        <w:pStyle w:val="Heading2"/>
      </w:pPr>
      <w:r>
        <w:t xml:space="preserve">Why 2Q matters after a strong 1Q</w:t>
      </w:r>
    </w:p>
    <w:p>
      <w:pPr>
        <w:pStyle w:val="FirstParagraph"/>
      </w:pPr>
      <w:r>
        <w:t xml:space="preserve">In 1Q26, Edwards reported: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Total sales of $1.65B</w:t>
      </w:r>
      <w:r>
        <w:t xml:space="preserve">, up</w:t>
      </w:r>
      <w:r>
        <w:t xml:space="preserve"> </w:t>
      </w:r>
      <w:r>
        <w:rPr>
          <w:b/>
          <w:bCs/>
        </w:rPr>
        <w:t xml:space="preserve">12.7% constant currency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TAVR sales of $1.20B</w:t>
      </w:r>
      <w:r>
        <w:t xml:space="preserve">, up</w:t>
      </w:r>
      <w:r>
        <w:t xml:space="preserve"> </w:t>
      </w:r>
      <w:r>
        <w:rPr>
          <w:b/>
          <w:bCs/>
        </w:rPr>
        <w:t xml:space="preserve">11.0% constant currency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TMTT sales of $175M</w:t>
      </w:r>
      <w:r>
        <w:t xml:space="preserve">, up</w:t>
      </w:r>
      <w:r>
        <w:t xml:space="preserve"> </w:t>
      </w:r>
      <w:r>
        <w:rPr>
          <w:b/>
          <w:bCs/>
        </w:rPr>
        <w:t xml:space="preserve">42.8% constant currency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Surgical sales of $276M</w:t>
      </w:r>
      <w:r>
        <w:t xml:space="preserve">, up</w:t>
      </w:r>
      <w:r>
        <w:t xml:space="preserve"> </w:t>
      </w:r>
      <w:r>
        <w:rPr>
          <w:b/>
          <w:bCs/>
        </w:rPr>
        <w:t xml:space="preserve">5.9% constant currency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 of $0.78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operating margin of 31.4%</w:t>
      </w:r>
    </w:p>
    <w:p>
      <w:pPr>
        <w:pStyle w:val="FirstParagraph"/>
      </w:pPr>
      <w:r>
        <w:t xml:space="preserve">Following that performance, management raised:</w:t>
      </w:r>
    </w:p>
    <w:p>
      <w:pPr>
        <w:pStyle w:val="Compact"/>
        <w:numPr>
          <w:ilvl w:val="0"/>
          <w:numId w:val="1003"/>
        </w:numPr>
      </w:pPr>
      <w:r>
        <w:t xml:space="preserve">FY26 constant-currency sales growth to</w:t>
      </w:r>
      <w:r>
        <w:t xml:space="preserve"> </w:t>
      </w:r>
      <w:r>
        <w:rPr>
          <w:b/>
          <w:bCs/>
        </w:rPr>
        <w:t xml:space="preserve">9%–11%</w:t>
      </w:r>
      <w:r>
        <w:t xml:space="preserve"> </w:t>
      </w:r>
      <w:r>
        <w:t xml:space="preserve">from 8%–10%</w:t>
      </w:r>
    </w:p>
    <w:p>
      <w:pPr>
        <w:pStyle w:val="Compact"/>
        <w:numPr>
          <w:ilvl w:val="0"/>
          <w:numId w:val="1003"/>
        </w:numPr>
      </w:pPr>
      <w:r>
        <w:t xml:space="preserve">FY26 TAVR growth to</w:t>
      </w:r>
      <w:r>
        <w:t xml:space="preserve"> </w:t>
      </w:r>
      <w:r>
        <w:rPr>
          <w:b/>
          <w:bCs/>
        </w:rPr>
        <w:t xml:space="preserve">7%–9%</w:t>
      </w:r>
      <w:r>
        <w:t xml:space="preserve"> </w:t>
      </w:r>
      <w:r>
        <w:t xml:space="preserve">from 6%–8%</w:t>
      </w:r>
    </w:p>
    <w:p>
      <w:pPr>
        <w:pStyle w:val="Compact"/>
        <w:numPr>
          <w:ilvl w:val="0"/>
          <w:numId w:val="1003"/>
        </w:numPr>
      </w:pPr>
      <w:r>
        <w:t xml:space="preserve">FY26 adjusted EPS to</w:t>
      </w:r>
      <w:r>
        <w:t xml:space="preserve"> </w:t>
      </w:r>
      <m:oMath>
        <m:r>
          <m:t>2.95</m:t>
        </m:r>
        <m:r>
          <m:rPr>
            <m:sty m:val="p"/>
          </m:rPr>
          <m:t>–</m:t>
        </m:r>
      </m:oMath>
      <w:r>
        <w:rPr>
          <w:b/>
          <w:bCs/>
        </w:rPr>
        <w:t xml:space="preserve">3.05</w:t>
      </w:r>
      <w:r>
        <w:t xml:space="preserve"> </w:t>
      </w:r>
      <w:r>
        <w:t xml:space="preserve">from</w:t>
      </w:r>
      <w:r>
        <w:t xml:space="preserve"> </w:t>
      </w:r>
      <m:oMath>
        <m:r>
          <m:t>2.90</m:t>
        </m:r>
        <m:r>
          <m:rPr>
            <m:sty m:val="p"/>
          </m:rPr>
          <m:t>–</m:t>
        </m:r>
      </m:oMath>
      <w:r>
        <w:t xml:space="preserve">3.05</w:t>
      </w:r>
    </w:p>
    <w:p>
      <w:pPr>
        <w:pStyle w:val="FirstParagraph"/>
      </w:pPr>
      <w:r>
        <w:t xml:space="preserve">The key caveat is that management explicitly highlighted a tougher year-over-year hurdle in the back half of 2026 after strong 2H25 growth. That makes the 2Q print and outlook particularly important: a strong result would support confidence that the TAVR growth rate is holding above the full-year planning range before comparisons become more difficult.</w:t>
      </w:r>
    </w:p>
    <w:p>
      <w:r>
        <w:pict>
          <v:rect style="width:0;height:1.5pt" o:hralign="center" o:hrstd="t" o:hr="t"/>
        </w:pict>
      </w:r>
    </w:p>
    <w:bookmarkEnd w:id="11"/>
    <w:bookmarkStart w:id="15" w:name="segment-scorecard"/>
    <w:p>
      <w:pPr>
        <w:pStyle w:val="Heading2"/>
      </w:pPr>
      <w:r>
        <w:t xml:space="preserve">Segment scorecard</w:t>
      </w:r>
    </w:p>
    <w:bookmarkStart w:id="12" w:name="X678d23f82f804545bb57657c35e453ece5ff70f"/>
    <w:p>
      <w:pPr>
        <w:pStyle w:val="Heading3"/>
      </w:pPr>
      <w:r>
        <w:t xml:space="preserve">1. TAVR: the largest determinant of the quarter</w:t>
      </w:r>
    </w:p>
    <w:p>
      <w:pPr>
        <w:pStyle w:val="FirstParagraph"/>
      </w:pPr>
      <w:r>
        <w:t xml:space="preserve">TAVR represents roughly three-quarters of company sales and will remain the principal driver of the stock reaction.</w:t>
      </w:r>
    </w:p>
    <w:p>
      <w:pPr>
        <w:pStyle w:val="BodyText"/>
      </w:pPr>
      <w:r>
        <w:rPr>
          <w:b/>
          <w:bCs/>
        </w:rPr>
        <w:t xml:space="preserve">What worked in 1Q</w:t>
      </w:r>
    </w:p>
    <w:p>
      <w:pPr>
        <w:pStyle w:val="Compact"/>
        <w:numPr>
          <w:ilvl w:val="0"/>
          <w:numId w:val="1004"/>
        </w:numPr>
      </w:pPr>
      <w:r>
        <w:t xml:space="preserve">Broad procedural growth tied to a greater clinical focus on earlier and more proactive management of severe aortic stenosis.</w:t>
      </w:r>
    </w:p>
    <w:p>
      <w:pPr>
        <w:pStyle w:val="Compact"/>
        <w:numPr>
          <w:ilvl w:val="0"/>
          <w:numId w:val="1004"/>
        </w:numPr>
      </w:pPr>
      <w:r>
        <w:t xml:space="preserve">Modest competitive benefit, especially in Europe following a competitor exit.</w:t>
      </w:r>
    </w:p>
    <w:p>
      <w:pPr>
        <w:pStyle w:val="Compact"/>
        <w:numPr>
          <w:ilvl w:val="0"/>
          <w:numId w:val="1004"/>
        </w:numPr>
      </w:pPr>
      <w:r>
        <w:t xml:space="preserve">Stable global pricing.</w:t>
      </w:r>
    </w:p>
    <w:p>
      <w:pPr>
        <w:pStyle w:val="Compact"/>
        <w:numPr>
          <w:ilvl w:val="0"/>
          <w:numId w:val="1004"/>
        </w:numPr>
      </w:pPr>
      <w:r>
        <w:t xml:space="preserve">Stronger growth outside the U.S. than within the U.S.</w:t>
      </w:r>
    </w:p>
    <w:p>
      <w:pPr>
        <w:pStyle w:val="FirstParagraph"/>
      </w:pPr>
      <w:r>
        <w:rPr>
          <w:b/>
          <w:bCs/>
        </w:rPr>
        <w:t xml:space="preserve">What investors should watch in 2Q</w:t>
      </w:r>
    </w:p>
    <w:p>
      <w:pPr>
        <w:pStyle w:val="Compact"/>
        <w:numPr>
          <w:ilvl w:val="0"/>
          <w:numId w:val="1005"/>
        </w:numPr>
      </w:pPr>
      <w:r>
        <w:t xml:space="preserve">Whether global TAVR growth sustains a</w:t>
      </w:r>
      <w:r>
        <w:t xml:space="preserve"> </w:t>
      </w:r>
      <w:r>
        <w:rPr>
          <w:b/>
          <w:bCs/>
        </w:rPr>
        <w:t xml:space="preserve">high-single-digit or better</w:t>
      </w:r>
      <w:r>
        <w:t xml:space="preserve"> </w:t>
      </w:r>
      <w:r>
        <w:t xml:space="preserve">underlying pace.</w:t>
      </w:r>
    </w:p>
    <w:p>
      <w:pPr>
        <w:pStyle w:val="Compact"/>
        <w:numPr>
          <w:ilvl w:val="0"/>
          <w:numId w:val="1005"/>
        </w:numPr>
      </w:pPr>
      <w:r>
        <w:t xml:space="preserve">The balance between procedure/market growth and share gains.</w:t>
      </w:r>
    </w:p>
    <w:p>
      <w:pPr>
        <w:pStyle w:val="Compact"/>
        <w:numPr>
          <w:ilvl w:val="0"/>
          <w:numId w:val="1005"/>
        </w:numPr>
      </w:pPr>
      <w:r>
        <w:t xml:space="preserve">U.S. versus international growth, particularly whether Europe remains a tailwind and whether Japan continues to contribute.</w:t>
      </w:r>
    </w:p>
    <w:p>
      <w:pPr>
        <w:pStyle w:val="Compact"/>
        <w:numPr>
          <w:ilvl w:val="0"/>
          <w:numId w:val="1005"/>
        </w:numPr>
      </w:pPr>
      <w:r>
        <w:t xml:space="preserve">Commentary on treatment of asymptomatic severe-AS patients and referral activity.</w:t>
      </w:r>
    </w:p>
    <w:p>
      <w:pPr>
        <w:pStyle w:val="Compact"/>
        <w:numPr>
          <w:ilvl w:val="0"/>
          <w:numId w:val="1005"/>
        </w:numPr>
      </w:pPr>
      <w:r>
        <w:t xml:space="preserve">Any update to the CMS reconsideration of the TAVR National Coverage Determination.</w:t>
      </w:r>
    </w:p>
    <w:p>
      <w:pPr>
        <w:pStyle w:val="FirstParagraph"/>
      </w:pPr>
      <w:r>
        <w:rPr>
          <w:b/>
          <w:bCs/>
        </w:rPr>
        <w:t xml:space="preserve">Why the bar is meaningful:</w:t>
      </w:r>
      <w:r>
        <w:t xml:space="preserve"> </w:t>
      </w:r>
      <w:r>
        <w:t xml:space="preserve">In 2Q25, TAVR sales were $1.13B and grew 7.8% constant currency. Edwards now needs to show that the 1Q acceleration was not a one-quarter event and that the SAPIEN franchise’s clinical-evidence advantage is translating to sustained procedure growth.</w:t>
      </w:r>
    </w:p>
    <w:bookmarkEnd w:id="12"/>
    <w:bookmarkStart w:id="13" w:name="Xaa404182d189fc90c46c25ece7af43abf24e501"/>
    <w:p>
      <w:pPr>
        <w:pStyle w:val="Heading3"/>
      </w:pPr>
      <w:r>
        <w:t xml:space="preserve">2. TMTT: the upside engine, but also the execution test</w:t>
      </w:r>
    </w:p>
    <w:p>
      <w:pPr>
        <w:pStyle w:val="FirstParagraph"/>
      </w:pPr>
      <w:r>
        <w:t xml:space="preserve">TMTT is Edwards’ most important incremental growth platform. Management still expects</w:t>
      </w:r>
      <w:r>
        <w:t xml:space="preserve"> </w:t>
      </w:r>
      <m:oMath>
        <m:r>
          <m:t>740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780M</w:t>
      </w:r>
      <w:r>
        <w:t xml:space="preserve"> </w:t>
      </w:r>
      <w:r>
        <w:t xml:space="preserve">in FY26 sales, or roughly</w:t>
      </w:r>
      <w:r>
        <w:t xml:space="preserve"> </w:t>
      </w:r>
      <w:r>
        <w:rPr>
          <w:b/>
          <w:bCs/>
        </w:rPr>
        <w:t xml:space="preserve">35%–45% growth</w:t>
      </w:r>
      <w:r>
        <w:t xml:space="preserve">, and continues to target</w:t>
      </w:r>
      <w:r>
        <w:t xml:space="preserve"> </w:t>
      </w:r>
      <w:r>
        <w:rPr>
          <w:b/>
          <w:bCs/>
        </w:rPr>
        <w:t xml:space="preserve">$2B in revenue by 2030</w:t>
      </w:r>
      <w:r>
        <w:t xml:space="preserve">.</w:t>
      </w:r>
    </w:p>
    <w:p>
      <w:pPr>
        <w:pStyle w:val="BodyText"/>
      </w:pPr>
      <w:r>
        <w:t xml:space="preserve">The portfolio is unusually broad: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PASCAL</w:t>
      </w:r>
      <w:r>
        <w:t xml:space="preserve"> </w:t>
      </w:r>
      <w:r>
        <w:t xml:space="preserve">for mitral repair, with a next-generation product expected in 4Q26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EVOQUE</w:t>
      </w:r>
      <w:r>
        <w:t xml:space="preserve"> </w:t>
      </w:r>
      <w:r>
        <w:t xml:space="preserve">for tricuspid replacement, expanding into additional centers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SAPIEN M3</w:t>
      </w:r>
      <w:r>
        <w:t xml:space="preserve"> </w:t>
      </w:r>
      <w:r>
        <w:t xml:space="preserve">for mitral replacement, early in its U.S. launch</w:t>
      </w:r>
    </w:p>
    <w:p>
      <w:pPr>
        <w:pStyle w:val="Compact"/>
        <w:numPr>
          <w:ilvl w:val="0"/>
          <w:numId w:val="1006"/>
        </w:numPr>
      </w:pPr>
      <w:r>
        <w:t xml:space="preserve">Expected U.S. PASCAL tricuspid launch in 4Q26</w:t>
      </w:r>
    </w:p>
    <w:p>
      <w:pPr>
        <w:pStyle w:val="FirstParagraph"/>
      </w:pPr>
      <w:r>
        <w:rPr>
          <w:b/>
          <w:bCs/>
        </w:rPr>
        <w:t xml:space="preserve">Key 2Q questions</w:t>
      </w:r>
    </w:p>
    <w:p>
      <w:pPr>
        <w:pStyle w:val="Compact"/>
        <w:numPr>
          <w:ilvl w:val="0"/>
          <w:numId w:val="1007"/>
        </w:numPr>
      </w:pPr>
      <w:r>
        <w:t xml:space="preserve">How quickly is SAPIEN M3 moving beyond early trial and leading centers?</w:t>
      </w:r>
    </w:p>
    <w:p>
      <w:pPr>
        <w:pStyle w:val="Compact"/>
        <w:numPr>
          <w:ilvl w:val="0"/>
          <w:numId w:val="1007"/>
        </w:numPr>
      </w:pPr>
      <w:r>
        <w:t xml:space="preserve">Is EVOQUE adoption broadening at the expected pace, and are new-center openings supporting procedure growth?</w:t>
      </w:r>
    </w:p>
    <w:p>
      <w:pPr>
        <w:pStyle w:val="Compact"/>
        <w:numPr>
          <w:ilvl w:val="0"/>
          <w:numId w:val="1007"/>
        </w:numPr>
      </w:pPr>
      <w:r>
        <w:t xml:space="preserve">Is PASCAL continuing to gain traction in mitral repair?</w:t>
      </w:r>
    </w:p>
    <w:p>
      <w:pPr>
        <w:pStyle w:val="Compact"/>
        <w:numPr>
          <w:ilvl w:val="0"/>
          <w:numId w:val="1007"/>
        </w:numPr>
      </w:pPr>
      <w:r>
        <w:t xml:space="preserve">Is management still comfortable with the</w:t>
      </w:r>
      <w:r>
        <w:t xml:space="preserve"> </w:t>
      </w:r>
      <m:oMath>
        <m:r>
          <m:t>740</m:t>
        </m:r>
        <m:r>
          <m:t>M</m:t>
        </m:r>
        <m:r>
          <m:rPr>
            <m:sty m:val="p"/>
          </m:rPr>
          <m:t>–</m:t>
        </m:r>
      </m:oMath>
      <w:r>
        <w:t xml:space="preserve">780M FY26 target after the first-half run rate?</w:t>
      </w:r>
    </w:p>
    <w:p>
      <w:pPr>
        <w:pStyle w:val="Compact"/>
        <w:numPr>
          <w:ilvl w:val="0"/>
          <w:numId w:val="1007"/>
        </w:numPr>
      </w:pPr>
      <w:r>
        <w:t xml:space="preserve">Does the company provide more color on the contribution from repair versus replacement therapies?</w:t>
      </w:r>
    </w:p>
    <w:p>
      <w:pPr>
        <w:pStyle w:val="FirstParagraph"/>
      </w:pPr>
      <w:r>
        <w:t xml:space="preserve">TMTT does not need to match 1Q’s 43% constant-currency growth every quarter to support the full-year framework. But a material deceleration without a clear explanation—such as launch timing, center onboarding, or normal quarter-to-quarter variability—would likely raise questions about the slope toward the 2030 goal.</w:t>
      </w:r>
    </w:p>
    <w:bookmarkEnd w:id="13"/>
    <w:bookmarkStart w:id="14" w:name="X2483a9c6298b9a80d62045135c0c0ba878c88b7"/>
    <w:p>
      <w:pPr>
        <w:pStyle w:val="Heading3"/>
      </w:pPr>
      <w:r>
        <w:t xml:space="preserve">3. Surgical: steady contributor, not the primary swing factor</w:t>
      </w:r>
    </w:p>
    <w:p>
      <w:pPr>
        <w:pStyle w:val="FirstParagraph"/>
      </w:pPr>
      <w:r>
        <w:t xml:space="preserve">Surgical grew 5.9% constant currency in 1Q, driven by RESILIA tissue technologies, including INSPIRIS, KONECT, and MITRIS. Edwards’ FY26 framework calls for</w:t>
      </w:r>
      <w:r>
        <w:t xml:space="preserve"> </w:t>
      </w:r>
      <w:r>
        <w:rPr>
          <w:b/>
          <w:bCs/>
        </w:rPr>
        <w:t xml:space="preserve">mid-single-digit growth</w:t>
      </w:r>
      <w:r>
        <w:t xml:space="preserve">.</w:t>
      </w:r>
    </w:p>
    <w:p>
      <w:pPr>
        <w:pStyle w:val="BodyText"/>
      </w:pPr>
      <w:r>
        <w:t xml:space="preserve">The segment is unlikely to determine the quarter, but sustained mid-single-digit growth would reinforce the company’s claim of a balanced structural-heart portfolio. Investors should also listen for updates on: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TRIFORMIS</w:t>
      </w:r>
      <w:r>
        <w:t xml:space="preserve"> </w:t>
      </w:r>
      <w:r>
        <w:t xml:space="preserve">surgical tricuspid valve launch timing in 2H26</w:t>
      </w:r>
    </w:p>
    <w:p>
      <w:pPr>
        <w:pStyle w:val="Compact"/>
        <w:numPr>
          <w:ilvl w:val="0"/>
          <w:numId w:val="1008"/>
        </w:numPr>
      </w:pPr>
      <w:r>
        <w:t xml:space="preserve">Preliminary introduction of the surgical left atrial appendage closure program</w:t>
      </w:r>
    </w:p>
    <w:p>
      <w:pPr>
        <w:pStyle w:val="Compact"/>
        <w:numPr>
          <w:ilvl w:val="0"/>
          <w:numId w:val="1008"/>
        </w:numPr>
      </w:pPr>
      <w:r>
        <w:t xml:space="preserve">Continued international adoption of KONECT and MITRIS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9" w:name="X518e9488418b11fe23e77f65e6e7e07a96177b3"/>
    <w:p>
      <w:pPr>
        <w:pStyle w:val="Heading2"/>
      </w:pPr>
      <w:r>
        <w:t xml:space="preserve">Guidance and margin: the potential swing factor</w:t>
      </w:r>
    </w:p>
    <w:p>
      <w:pPr>
        <w:pStyle w:val="FirstParagraph"/>
      </w:pPr>
      <w:r>
        <w:t xml:space="preserve">The likely market focus after the headline numbers will be the degree of guidance confidence.</w:t>
      </w:r>
    </w:p>
    <w:bookmarkStart w:id="16" w:name="base-case"/>
    <w:p>
      <w:pPr>
        <w:pStyle w:val="Heading3"/>
      </w:pPr>
      <w:r>
        <w:t xml:space="preserve">Base case</w:t>
      </w:r>
    </w:p>
    <w:p>
      <w:pPr>
        <w:pStyle w:val="FirstParagraph"/>
      </w:pPr>
      <w:r>
        <w:t xml:space="preserve">Edwards reiterates FY26 guidance after a solid 2Q, emphasizing tougher 2H comparisons, continued investment, and uncertainty around the cadence of TAVR and TMTT launches.</w:t>
      </w:r>
    </w:p>
    <w:bookmarkEnd w:id="16"/>
    <w:bookmarkStart w:id="17" w:name="bull-case"/>
    <w:p>
      <w:pPr>
        <w:pStyle w:val="Heading3"/>
      </w:pPr>
      <w:r>
        <w:t xml:space="preserve">Bull case</w:t>
      </w:r>
    </w:p>
    <w:p>
      <w:pPr>
        <w:pStyle w:val="FirstParagraph"/>
      </w:pPr>
      <w:r>
        <w:t xml:space="preserve">A meaningful 2Q beat—particularly in TAVR—with evidence that procedure momentum remains strong could support another increase to sales and/or EPS guidance. A raise would be especially constructive if driven by</w:t>
      </w:r>
      <w:r>
        <w:t xml:space="preserve"> </w:t>
      </w:r>
      <w:r>
        <w:rPr>
          <w:b/>
          <w:bCs/>
        </w:rPr>
        <w:t xml:space="preserve">underlying growth</w:t>
      </w:r>
      <w:r>
        <w:t xml:space="preserve"> </w:t>
      </w:r>
      <w:r>
        <w:t xml:space="preserve">rather than FX.</w:t>
      </w:r>
    </w:p>
    <w:bookmarkEnd w:id="17"/>
    <w:bookmarkStart w:id="18" w:name="bear-case"/>
    <w:p>
      <w:pPr>
        <w:pStyle w:val="Heading3"/>
      </w:pPr>
      <w:r>
        <w:t xml:space="preserve">Bear case</w:t>
      </w:r>
    </w:p>
    <w:p>
      <w:pPr>
        <w:pStyle w:val="FirstParagraph"/>
      </w:pPr>
      <w:r>
        <w:t xml:space="preserve">Results land within the 2Q range, but TAVR slows materially, TMTT misses expectations, or management retains/increases caution about the second half. Because the business has already produced a strong 1Q and raised guidance, “in-line” may not be enough if the quality of the growth deteriorates.</w:t>
      </w:r>
    </w:p>
    <w:p>
      <w:pPr>
        <w:pStyle w:val="BodyText"/>
      </w:pPr>
      <w:r>
        <w:t xml:space="preserve">On profitability, Edwards maintained FY26 gross-margin guidance of</w:t>
      </w:r>
      <w:r>
        <w:t xml:space="preserve"> </w:t>
      </w:r>
      <w:r>
        <w:rPr>
          <w:b/>
          <w:bCs/>
        </w:rPr>
        <w:t xml:space="preserve">78%–79%</w:t>
      </w:r>
      <w:r>
        <w:t xml:space="preserve">, expects R&amp;D to be about</w:t>
      </w:r>
      <w:r>
        <w:t xml:space="preserve"> </w:t>
      </w:r>
      <w:r>
        <w:rPr>
          <w:b/>
          <w:bCs/>
        </w:rPr>
        <w:t xml:space="preserve">17% of sales</w:t>
      </w:r>
      <w:r>
        <w:t xml:space="preserve">, and previously indicated full-year operating margin toward the high end of its original</w:t>
      </w:r>
      <w:r>
        <w:t xml:space="preserve"> </w:t>
      </w:r>
      <w:r>
        <w:rPr>
          <w:b/>
          <w:bCs/>
        </w:rPr>
        <w:t xml:space="preserve">28%–29%</w:t>
      </w:r>
      <w:r>
        <w:t xml:space="preserve"> </w:t>
      </w:r>
      <w:r>
        <w:t xml:space="preserve">range. The most useful read-through will be whether the company still sees approximately</w:t>
      </w:r>
      <w:r>
        <w:t xml:space="preserve"> </w:t>
      </w:r>
      <w:r>
        <w:rPr>
          <w:b/>
          <w:bCs/>
        </w:rPr>
        <w:t xml:space="preserve">150 bps of constant-currency operating-margin expansion</w:t>
      </w:r>
      <w:r>
        <w:t xml:space="preserve"> </w:t>
      </w:r>
      <w:r>
        <w:t xml:space="preserve">in 2026 despite product-launch and manufacturing investments.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3" w:name="catalysts-beyond-the-quarter"/>
    <w:p>
      <w:pPr>
        <w:pStyle w:val="Heading2"/>
      </w:pPr>
      <w:r>
        <w:t xml:space="preserve">Catalysts beyond the quarter</w:t>
      </w:r>
    </w:p>
    <w:bookmarkStart w:id="20" w:name="tavr-coverage-and-access"/>
    <w:p>
      <w:pPr>
        <w:pStyle w:val="Heading3"/>
      </w:pPr>
      <w:r>
        <w:t xml:space="preserve">TAVR coverage and access</w:t>
      </w:r>
    </w:p>
    <w:p>
      <w:pPr>
        <w:pStyle w:val="FirstParagraph"/>
      </w:pPr>
      <w:r>
        <w:t xml:space="preserve">Management has described the CMS TAVR coverage reconsideration as a potentially important long-term access catalyst. The key issue is whether a revised framework can improve timely patient access while maintaining appropriate heart-team oversight. Any update on timing or the substance of the evolving coverage framework could matter more to the long-term thesis than one quarter’s revenue variance.</w:t>
      </w:r>
    </w:p>
    <w:bookmarkEnd w:id="20"/>
    <w:bookmarkStart w:id="21" w:name="progress-trial"/>
    <w:p>
      <w:pPr>
        <w:pStyle w:val="Heading3"/>
      </w:pPr>
      <w:r>
        <w:t xml:space="preserve">PROGRESS trial</w:t>
      </w:r>
    </w:p>
    <w:p>
      <w:pPr>
        <w:pStyle w:val="FirstParagraph"/>
      </w:pPr>
      <w:r>
        <w:t xml:space="preserve">Edwards expects results from the</w:t>
      </w:r>
      <w:r>
        <w:t xml:space="preserve"> </w:t>
      </w:r>
      <w:r>
        <w:rPr>
          <w:b/>
          <w:bCs/>
        </w:rPr>
        <w:t xml:space="preserve">PROGRESS</w:t>
      </w:r>
      <w:r>
        <w:t xml:space="preserve"> </w:t>
      </w:r>
      <w:r>
        <w:t xml:space="preserve">trial in moderate aortic stenosis to be presented at TCT later in 2026. The company has not previewed results. While it is not a 2Q earnings catalyst, investors will look for confirmation of presentation timing and any indication that the study remains on track.</w:t>
      </w:r>
    </w:p>
    <w:bookmarkEnd w:id="21"/>
    <w:bookmarkStart w:id="22" w:name="product-pipeline"/>
    <w:p>
      <w:pPr>
        <w:pStyle w:val="Heading3"/>
      </w:pPr>
      <w:r>
        <w:t xml:space="preserve">Product pipeline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PASCAL next generation:</w:t>
      </w:r>
      <w:r>
        <w:t xml:space="preserve"> </w:t>
      </w:r>
      <w:r>
        <w:t xml:space="preserve">expected in 4Q26 in the U.S. and Europe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PASCAL for U.S. tricuspid patients:</w:t>
      </w:r>
      <w:r>
        <w:t xml:space="preserve"> </w:t>
      </w:r>
      <w:r>
        <w:t xml:space="preserve">expected in 4Q26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EVOQUE next generation:</w:t>
      </w:r>
      <w:r>
        <w:t xml:space="preserve"> </w:t>
      </w:r>
      <w:r>
        <w:t xml:space="preserve">expected in 2H27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SAPIEN X4:</w:t>
      </w:r>
      <w:r>
        <w:t xml:space="preserve"> </w:t>
      </w:r>
      <w:r>
        <w:t xml:space="preserve">confirmatory clinical work is ongoing through 2026; timing remains an open question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Aortic regurgitation / SOJON:</w:t>
      </w:r>
      <w:r>
        <w:t xml:space="preserve"> </w:t>
      </w:r>
      <w:r>
        <w:t xml:space="preserve">pivotal study enrollment remains a longer-duration value driver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management-and-capital-allocation"/>
    <w:p>
      <w:pPr>
        <w:pStyle w:val="Heading2"/>
      </w:pPr>
      <w:r>
        <w:t xml:space="preserve">Management and capital allocation</w:t>
      </w:r>
    </w:p>
    <w:p>
      <w:pPr>
        <w:pStyle w:val="FirstParagraph"/>
      </w:pPr>
      <w:r>
        <w:t xml:space="preserve">This will be the first earnings period following the CFO transition announced in May.</w:t>
      </w:r>
      <w:r>
        <w:t xml:space="preserve"> </w:t>
      </w:r>
      <w:r>
        <w:rPr>
          <w:b/>
          <w:bCs/>
        </w:rPr>
        <w:t xml:space="preserve">Theodora (“Doretta”) Mistras</w:t>
      </w:r>
      <w:r>
        <w:t xml:space="preserve"> </w:t>
      </w:r>
      <w:r>
        <w:t xml:space="preserve">succeeded long-serving CFO Scott Ullem at the end of May, after serving as CFO of Viatris and previously working in healthcare investment banking.</w:t>
      </w:r>
    </w:p>
    <w:p>
      <w:pPr>
        <w:pStyle w:val="BodyText"/>
      </w:pPr>
      <w:r>
        <w:t xml:space="preserve">The call is worth watching for any evolution in messaging around:</w:t>
      </w:r>
    </w:p>
    <w:p>
      <w:pPr>
        <w:pStyle w:val="Compact"/>
        <w:numPr>
          <w:ilvl w:val="0"/>
          <w:numId w:val="1010"/>
        </w:numPr>
      </w:pPr>
      <w:r>
        <w:t xml:space="preserve">Long-term operating-margin expansion</w:t>
      </w:r>
    </w:p>
    <w:p>
      <w:pPr>
        <w:pStyle w:val="Compact"/>
        <w:numPr>
          <w:ilvl w:val="0"/>
          <w:numId w:val="1010"/>
        </w:numPr>
      </w:pPr>
      <w:r>
        <w:t xml:space="preserve">Investment intensity in TMTT, TAVR, and clinical evidence</w:t>
      </w:r>
    </w:p>
    <w:p>
      <w:pPr>
        <w:pStyle w:val="Compact"/>
        <w:numPr>
          <w:ilvl w:val="0"/>
          <w:numId w:val="1010"/>
        </w:numPr>
      </w:pPr>
      <w:r>
        <w:t xml:space="preserve">Share repurchases and capital deployment</w:t>
      </w:r>
    </w:p>
    <w:p>
      <w:pPr>
        <w:pStyle w:val="Compact"/>
        <w:numPr>
          <w:ilvl w:val="0"/>
          <w:numId w:val="1010"/>
        </w:numPr>
      </w:pPr>
      <w:r>
        <w:t xml:space="preserve">Tax-rate assumptions</w:t>
      </w:r>
    </w:p>
    <w:p>
      <w:pPr>
        <w:pStyle w:val="Compact"/>
        <w:numPr>
          <w:ilvl w:val="0"/>
          <w:numId w:val="1010"/>
        </w:numPr>
      </w:pPr>
      <w:r>
        <w:t xml:space="preserve">The balance between organic pipeline investment and potential business development</w:t>
      </w:r>
    </w:p>
    <w:p>
      <w:pPr>
        <w:pStyle w:val="FirstParagraph"/>
      </w:pPr>
      <w:r>
        <w:t xml:space="preserve">Edwards ended 1Q with approximately</w:t>
      </w:r>
      <w:r>
        <w:t xml:space="preserve"> </w:t>
      </w:r>
      <m:oMath>
        <m:r>
          <m:t>2.4</m:t>
        </m:r>
        <m:r>
          <m:t>B</m:t>
        </m:r>
        <m:r>
          <m:t>i</m:t>
        </m:r>
        <m:r>
          <m:t>n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600M in debt</w:t>
      </w:r>
      <w:r>
        <w:t xml:space="preserve">, and roughly</w:t>
      </w:r>
      <w:r>
        <w:t xml:space="preserve"> </w:t>
      </w:r>
      <w:r>
        <w:rPr>
          <w:b/>
          <w:bCs/>
        </w:rPr>
        <w:t xml:space="preserve">$1.5B</w:t>
      </w:r>
      <w:r>
        <w:t xml:space="preserve"> </w:t>
      </w:r>
      <w:r>
        <w:t xml:space="preserve">remaining under its repurchase authorization after completing a $500M accelerated share repurchase.</w:t>
      </w:r>
    </w:p>
    <w:p>
      <w:r>
        <w:pict>
          <v:rect style="width:0;height:1.5pt" o:hralign="center" o:hrstd="t" o:hr="t"/>
        </w:pict>
      </w:r>
    </w:p>
    <w:bookmarkEnd w:id="24"/>
    <w:bookmarkStart w:id="25" w:name="stock-setup-into-results"/>
    <w:p>
      <w:pPr>
        <w:pStyle w:val="Heading2"/>
      </w:pPr>
      <w:r>
        <w:t xml:space="preserve">Stock setup into results</w:t>
      </w:r>
    </w:p>
    <w:p>
      <w:pPr>
        <w:pStyle w:val="FirstParagraph"/>
      </w:pPr>
      <w:r>
        <w:t xml:space="preserve">EW closed at</w:t>
      </w:r>
      <w:r>
        <w:t xml:space="preserve"> </w:t>
      </w:r>
      <w:r>
        <w:rPr>
          <w:b/>
          <w:bCs/>
        </w:rPr>
        <w:t xml:space="preserve">$84.39 on July 22</w:t>
      </w:r>
      <w:r>
        <w:t xml:space="preserve">. The shares are down approximately</w:t>
      </w:r>
      <w:r>
        <w:t xml:space="preserve"> </w:t>
      </w:r>
      <w:r>
        <w:rPr>
          <w:b/>
          <w:bCs/>
        </w:rPr>
        <w:t xml:space="preserve">11.3%</w:t>
      </w:r>
      <w:r>
        <w:t xml:space="preserve"> </w:t>
      </w:r>
      <w:r>
        <w:t xml:space="preserve">from their July 6 closing high of $95.18 and about</w:t>
      </w:r>
      <w:r>
        <w:t xml:space="preserve"> </w:t>
      </w:r>
      <w:r>
        <w:rPr>
          <w:b/>
          <w:bCs/>
        </w:rPr>
        <w:t xml:space="preserve">1.1%</w:t>
      </w:r>
      <w:r>
        <w:t xml:space="preserve"> </w:t>
      </w:r>
      <w:r>
        <w:t xml:space="preserve">year to date versus the January 2 close of $85.33.</w:t>
      </w:r>
    </w:p>
    <w:p>
      <w:pPr>
        <w:pStyle w:val="BodyText"/>
      </w:pPr>
      <w:r>
        <w:t xml:space="preserve">That pullback could reduce some near-term expectations, but it does not eliminate the need for a high-quality print. The stock’s reaction is likely to depend on whether Edwards can validate three messages simultaneously:</w:t>
      </w:r>
    </w:p>
    <w:p>
      <w:pPr>
        <w:pStyle w:val="Compact"/>
        <w:numPr>
          <w:ilvl w:val="0"/>
          <w:numId w:val="1011"/>
        </w:numPr>
      </w:pPr>
      <w:r>
        <w:t xml:space="preserve">TAVR growth remains structurally better than its prior mid-single-digit narrative.</w:t>
      </w:r>
    </w:p>
    <w:p>
      <w:pPr>
        <w:pStyle w:val="Compact"/>
        <w:numPr>
          <w:ilvl w:val="0"/>
          <w:numId w:val="1011"/>
        </w:numPr>
      </w:pPr>
      <w:r>
        <w:t xml:space="preserve">TMTT is scaling credibly toward its ambitious 2030 revenue target.</w:t>
      </w:r>
    </w:p>
    <w:p>
      <w:pPr>
        <w:pStyle w:val="Compact"/>
        <w:numPr>
          <w:ilvl w:val="0"/>
          <w:numId w:val="1011"/>
        </w:numPr>
      </w:pPr>
      <w:r>
        <w:t xml:space="preserve">Growth can be converted into EPS and margin expansion while the company continues to invest.</w:t>
      </w:r>
    </w:p>
    <w:p>
      <w:r>
        <w:pict>
          <v:rect style="width:0;height:1.5pt" o:hralign="center" o:hrstd="t" o:hr="t"/>
        </w:pict>
      </w:r>
    </w:p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2Q26 report is primarily a durability test for Edwards’ growth reacceleration.</w:t>
      </w:r>
      <w:r>
        <w:t xml:space="preserve"> </w:t>
      </w:r>
      <w:r>
        <w:t xml:space="preserve">A positive quarter would feature solidly double-digit total-sales growth, TAVR growth that remains at least in the high-single digits on an underlying basis, continued TMTT scale-up, and maintained or improved FY26 guidance. The most constructive outcome would be a guide raise supported by procedure growth and durable commercial execution rather than currency or isolated share effects.</w:t>
      </w:r>
    </w:p>
    <w:p>
      <w:pPr>
        <w:pStyle w:val="BodyText"/>
      </w:pPr>
      <w:r>
        <w:t xml:space="preserve">The principal risks are a sharper-than-expected TAVR deceleration, uneven TMTT launch execution, margin pressure from investment phasing, or a cautious outlook that highlights the tougher 2H26 comparison base.</w:t>
      </w:r>
    </w:p>
    <w:p>
      <w:pPr>
        <w:pStyle w:val="BodyText"/>
      </w:pPr>
      <w:r>
        <w:rPr>
          <w:i/>
          <w:iCs/>
        </w:rPr>
        <w:t xml:space="preserve">Research basis: Edwards 1Q26 earnings release and call (April 23, 2026); 2Q25 earnings release (July 24, 2025); BofA Healthcare Conference remarks (May 12, 2026); CFO appointment filing (May 4, 2026); and EW historical-price data through July 22, 2026.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2026-07-23T01:01:57Z</dcterms:created>
  <dcterms:modified xsi:type="dcterms:W3CDTF">2026-07-23T01:01:57Z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