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cx-earnings-predictions--2026-07-23"/>
    <w:p>
      <w:pPr>
        <w:pStyle w:val="Heading1"/>
      </w:pPr>
      <w:r>
        <w:t xml:space="preserve">FCX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~$0.68 vs. cons $0.62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~$6.95B vs. cons $6.75B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Unit net cash cost ($/lb, lower=beat)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~$2.05 vs. cons/guide $2.24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Grasberg 2H'26 ramp (% of capacity)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~65% vs. prior ~65% (2H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copper sales volume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~3.1B lbs vs. cons ~3.1B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cash flow (spot copper &gt;$6.40 vs $6.00 assumption)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8.7B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unit net cash cost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1.95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returns /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~$0.15 dividend + modest buyback vs. cons $0.15 (Q2, $2.9B auth left)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(FADE)</w:t>
            </w:r>
          </w:p>
        </w:tc>
        <w:tc>
          <w:tcPr/>
          <w:p>
            <w:pPr>
              <w:pStyle w:val="Compact"/>
            </w:pPr>
            <w:r>
              <w:t xml:space="preserve">Classic sell-the-news: FCX ran +10.6% in the two sessions into the print (58.79-&gt;65.02) on a high ~2.5 beta, front-running a solid price-driven beat. The report should beat on EPS/revenue via strong copper-gold realizations, but the stock trades on guidance and out-period math, not the headline. The FY26 volume cut to 3.1B lbs already lives in numbers, and the Grasberg 2H'26 ~65% ramp is at best reaffirmed with skew toward further caution (wet drawpoints, mid-2027 fix), so there is no upward revision catalyst to sustain the pre-print rally. Higher OCF from spot copper is offset by cost creep and a modest buyback. With expectations elevated near 52-week highs, the initial pop fades and estimates drift lower on the ramp overhang.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2026-07-23T00:51:21Z</dcterms:created>
  <dcterms:modified xsi:type="dcterms:W3CDTF">2026-07-23T00:51:21Z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