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FCX before writing the preview. Let me start by gathering recent filings, earnings materials, and news.Let me read FCX's most recent earnings materials and gather copper price and company-specific news.Let me get recent FCX-specific news and the Q1 call tone, plus check what drove the recent stock jump.Let me read the Seeking Alpha and Gurufocus previews for consensus estimates and expectations.# Freeport-McMoRan (FCX) — Q2 2026 Earnings Preview</w:t>
      </w:r>
    </w:p>
    <w:bookmarkStart w:id="9" w:name="Xd145930dbc2619bcd6fe71c0592c634122be7af"/>
    <w:p>
      <w:pPr>
        <w:pStyle w:val="Heading3"/>
      </w:pPr>
      <w:r>
        <w:t xml:space="preserve">Reports before market open, Thursday, July 23, 2026</w:t>
      </w:r>
    </w:p>
    <w:p>
      <w:r>
        <w:pict>
          <v:rect style="width:0;height:1.5pt" o:hralign="center" o:hrstd="t" o:hr="t"/>
        </w:pict>
      </w:r>
    </w:p>
    <w:bookmarkEnd w:id="9"/>
    <w:bookmarkStart w:id="10" w:name="the-setup"/>
    <w:p>
      <w:pPr>
        <w:pStyle w:val="Heading2"/>
      </w:pPr>
      <w:r>
        <w:t xml:space="preserve">The Setup</w:t>
      </w:r>
    </w:p>
    <w:p>
      <w:pPr>
        <w:pStyle w:val="FirstParagraph"/>
      </w:pPr>
      <w:r>
        <w:t xml:space="preserve">FCX heads into Q2 as a market darling again. The stock closed at</w:t>
      </w:r>
      <w:r>
        <w:t xml:space="preserve"> </w:t>
      </w:r>
      <w:r>
        <w:rPr>
          <w:b/>
          <w:bCs/>
        </w:rPr>
        <w:t xml:space="preserve">$65.02 on July 22</w:t>
      </w:r>
      <w:r>
        <w:t xml:space="preserve"> </w:t>
      </w:r>
      <w:r>
        <w:t xml:space="preserve">(jumping ~4% on the eve of the print), leaving it up roughly</w:t>
      </w:r>
      <w:r>
        <w:t xml:space="preserve"> </w:t>
      </w:r>
      <w:r>
        <w:rPr>
          <w:b/>
          <w:bCs/>
        </w:rPr>
        <w:t xml:space="preserve">25% year-to-date</w:t>
      </w:r>
      <w:r>
        <w:t xml:space="preserve"> </w:t>
      </w:r>
      <w:r>
        <w:t xml:space="preserve">from</w:t>
      </w:r>
      <w:r>
        <w:t xml:space="preserve"> </w:t>
      </w:r>
      <m:oMath>
        <m:r>
          <m:t>51.93</m:t>
        </m:r>
        <m:r>
          <m:t>a</m:t>
        </m:r>
        <m:r>
          <m:t>t</m:t>
        </m:r>
        <m:r>
          <m:t>t</m:t>
        </m:r>
        <m:r>
          <m:t>h</m:t>
        </m:r>
        <m:r>
          <m:t>e</m:t>
        </m:r>
        <m:r>
          <m:t>s</m:t>
        </m:r>
        <m:r>
          <m:t>t</m:t>
        </m:r>
        <m:r>
          <m:t>a</m:t>
        </m:r>
        <m:r>
          <m:t>r</m:t>
        </m:r>
        <m:r>
          <m:t>t</m:t>
        </m:r>
        <m:r>
          <m:t>o</m:t>
        </m:r>
        <m:r>
          <m:t>f</m:t>
        </m:r>
        <m:r>
          <m:t>J</m:t>
        </m:r>
        <m:r>
          <m:t>a</m:t>
        </m:r>
        <m:r>
          <m:t>n</m:t>
        </m:r>
        <m:r>
          <m:t>u</m:t>
        </m:r>
        <m:r>
          <m:t>a</m:t>
        </m:r>
        <m:r>
          <m:t>r</m:t>
        </m:r>
        <m:r>
          <m:t>y</m:t>
        </m:r>
        <m:r>
          <m:rPr>
            <m:sty m:val="p"/>
          </m:rPr>
          <m:t>—</m:t>
        </m:r>
        <m:r>
          <m:t>t</m:t>
        </m:r>
        <m:r>
          <m:t>h</m:t>
        </m:r>
        <m:r>
          <m:t>o</m:t>
        </m:r>
        <m:r>
          <m:t>u</m:t>
        </m:r>
        <m:r>
          <m:t>g</m:t>
        </m:r>
        <m:r>
          <m:t>h</m:t>
        </m:r>
        <m:r>
          <m:t>t</m:t>
        </m:r>
        <m:r>
          <m:t>h</m:t>
        </m:r>
        <m:r>
          <m:t>e</m:t>
        </m:r>
        <m:r>
          <m:t>p</m:t>
        </m:r>
        <m:r>
          <m:t>a</m:t>
        </m:r>
        <m:r>
          <m:t>t</m:t>
        </m:r>
        <m:r>
          <m:t>h</m:t>
        </m:r>
        <m:r>
          <m:t>h</m:t>
        </m:r>
        <m:r>
          <m:t>a</m:t>
        </m:r>
        <m:r>
          <m:t>s</m:t>
        </m:r>
        <m:r>
          <m:t>b</m:t>
        </m:r>
        <m:r>
          <m:t>e</m:t>
        </m:r>
        <m:r>
          <m:t>e</m:t>
        </m:r>
        <m:r>
          <m:t>n</m:t>
        </m:r>
        <m:r>
          <m:t>v</m:t>
        </m:r>
        <m:r>
          <m:t>o</m:t>
        </m:r>
        <m:r>
          <m:t>l</m:t>
        </m:r>
        <m:r>
          <m:t>a</m:t>
        </m:r>
        <m:r>
          <m:t>t</m:t>
        </m:r>
        <m:r>
          <m:t>i</m:t>
        </m:r>
        <m:r>
          <m:t>l</m:t>
        </m:r>
        <m:r>
          <m:t>e</m:t>
        </m:r>
        <m:r>
          <m:rPr>
            <m:sty m:val="p"/>
          </m:rPr>
          <m:t>,</m:t>
        </m:r>
        <m:r>
          <m:t>w</m:t>
        </m:r>
        <m:r>
          <m:t>i</m:t>
        </m:r>
        <m:r>
          <m:t>t</m:t>
        </m:r>
        <m:r>
          <m:t>h</m:t>
        </m:r>
        <m:r>
          <m:t>a</m:t>
        </m:r>
        <m:r>
          <m:t>s</m:t>
        </m:r>
        <m:r>
          <m:t>p</m:t>
        </m:r>
        <m:r>
          <m:t>r</m:t>
        </m:r>
        <m:r>
          <m:t>i</m:t>
        </m:r>
        <m:r>
          <m:t>n</m:t>
        </m:r>
        <m:r>
          <m:t>g</m:t>
        </m:r>
        <m:r>
          <m:t>s</m:t>
        </m:r>
        <m:r>
          <m:t>w</m:t>
        </m:r>
        <m:r>
          <m:t>o</m:t>
        </m:r>
        <m:r>
          <m:t>o</m:t>
        </m:r>
        <m:r>
          <m:t>n</m:t>
        </m:r>
        <m:r>
          <m:t>t</m:t>
        </m:r>
        <m:r>
          <m:t>o</m:t>
        </m:r>
        <m:r>
          <m:t>t</m:t>
        </m:r>
        <m:r>
          <m:t>h</m:t>
        </m:r>
        <m:r>
          <m:t>e</m:t>
        </m:r>
        <m:r>
          <m:t>l</m:t>
        </m:r>
        <m:r>
          <m:t>o</m:t>
        </m:r>
        <m:r>
          <m:t>w</m:t>
        </m:r>
        <m:r>
          <m:rPr>
            <m:sty m:val="p"/>
          </m:rPr>
          <m:t>−</m:t>
        </m:r>
      </m:oMath>
      <w:r>
        <w:t xml:space="preserve">50s in March before copper's rally reasserted itself. At ~$93B market cap and a trailing P/E in the mid-30s, expectations are elevated, and some sell-side voices argue the shares are pricing in a lot of good news already.</w:t>
      </w:r>
    </w:p>
    <w:p>
      <w:pPr>
        <w:pStyle w:val="BodyText"/>
      </w:pPr>
      <w:r>
        <w:rPr>
          <w:b/>
          <w:bCs/>
        </w:rPr>
        <w:t xml:space="preserve">Consensus for Q2:</w:t>
      </w:r>
      <w:r>
        <w:t xml:space="preserve"> </w:t>
      </w:r>
      <w:r>
        <w:t xml:space="preserve">EPS of</w:t>
      </w:r>
      <w:r>
        <w:t xml:space="preserve"> </w:t>
      </w:r>
      <w:r>
        <w:rPr>
          <w:b/>
          <w:bCs/>
        </w:rPr>
        <w:t xml:space="preserve">~</w:t>
      </w:r>
      <m:oMath>
        <m:r>
          <m:t>0.62</m:t>
        </m:r>
        <m:r>
          <m:rPr>
            <m:sty m:val="p"/>
          </m:rPr>
          <m:t>*</m:t>
        </m:r>
        <m:r>
          <m:rPr>
            <m:sty m:val="p"/>
          </m:rPr>
          <m:t>*</m:t>
        </m:r>
        <m:r>
          <m:rPr>
            <m:sty m:val="p"/>
          </m:rPr>
          <m:t>(</m:t>
        </m:r>
        <m:r>
          <m:t>u</m:t>
        </m:r>
        <m:r>
          <m:t>p</m:t>
        </m:r>
        <m:r>
          <m:t> </m:t>
        </m:r>
        <m:r>
          <m:t>15</m:t>
        </m:r>
      </m:oMath>
      <w:r>
        <w:rPr>
          <w:b/>
          <w:bCs/>
        </w:rPr>
        <w:t xml:space="preserve">6.75B</w:t>
      </w:r>
      <w:r>
        <w:t xml:space="preserve"> </w:t>
      </w:r>
      <w:r>
        <w:t xml:space="preserve">(down ~11% Y/Y). The Y/Y revenue decline reflects the Grasberg volume hole; the EPS growth reflects sharply higher copper and gold prices offsetting lower Indonesian output.</w:t>
      </w:r>
    </w:p>
    <w:p>
      <w:pPr>
        <w:pStyle w:val="BodyText"/>
      </w:pPr>
      <w:r>
        <w:rPr>
          <w:b/>
          <w:bCs/>
        </w:rPr>
        <w:t xml:space="preserve">FCX's own Q2 guidance (set in April):</w:t>
      </w:r>
    </w:p>
    <w:p>
      <w:pPr>
        <w:pStyle w:val="Compact"/>
        <w:numPr>
          <w:ilvl w:val="0"/>
          <w:numId w:val="1001"/>
        </w:numPr>
      </w:pPr>
      <w:r>
        <w:t xml:space="preserve">Copper sales</w:t>
      </w:r>
      <w:r>
        <w:t xml:space="preserve"> </w:t>
      </w:r>
      <w:r>
        <w:rPr>
          <w:b/>
          <w:bCs/>
        </w:rPr>
        <w:t xml:space="preserve">~690M lbs</w:t>
      </w:r>
      <w:r>
        <w:t xml:space="preserve"> </w:t>
      </w:r>
      <w:r>
        <w:t xml:space="preserve">(vs. 657M in Q1)</w:t>
      </w:r>
    </w:p>
    <w:p>
      <w:pPr>
        <w:pStyle w:val="Compact"/>
        <w:numPr>
          <w:ilvl w:val="0"/>
          <w:numId w:val="1001"/>
        </w:numPr>
      </w:pPr>
      <w:r>
        <w:t xml:space="preserve">Gold sales</w:t>
      </w:r>
      <w:r>
        <w:t xml:space="preserve"> </w:t>
      </w:r>
      <w:r>
        <w:rPr>
          <w:b/>
          <w:bCs/>
        </w:rPr>
        <w:t xml:space="preserve">~140k oz</w:t>
      </w:r>
      <w:r>
        <w:t xml:space="preserve"> </w:t>
      </w:r>
      <w:r>
        <w:t xml:space="preserve">(vs. 121k in Q1)</w:t>
      </w:r>
    </w:p>
    <w:p>
      <w:pPr>
        <w:pStyle w:val="Compact"/>
        <w:numPr>
          <w:ilvl w:val="0"/>
          <w:numId w:val="1001"/>
        </w:numPr>
      </w:pPr>
      <w:r>
        <w:t xml:space="preserve">Molybdenum</w:t>
      </w:r>
      <w:r>
        <w:t xml:space="preserve"> </w:t>
      </w:r>
      <w:r>
        <w:rPr>
          <w:b/>
          <w:bCs/>
        </w:rPr>
        <w:t xml:space="preserve">~22M lbs</w:t>
      </w:r>
    </w:p>
    <w:p>
      <w:pPr>
        <w:pStyle w:val="Compact"/>
        <w:numPr>
          <w:ilvl w:val="0"/>
          <w:numId w:val="1001"/>
        </w:numPr>
      </w:pPr>
      <w:r>
        <w:rPr>
          <w:b/>
          <w:bCs/>
        </w:rPr>
        <w:t xml:space="preserve">Unit net cash costs ~$2.24/lb</w:t>
      </w:r>
      <w:r>
        <w:t xml:space="preserve"> </w:t>
      </w:r>
      <w:r>
        <w:t xml:space="preserve">— a step</w:t>
      </w:r>
      <w:r>
        <w:t xml:space="preserve"> </w:t>
      </w:r>
      <w:r>
        <w:rPr>
          <w:i/>
          <w:iCs/>
        </w:rPr>
        <w:t xml:space="preserve">up</w:t>
      </w:r>
      <w:r>
        <w:t xml:space="preserve"> </w:t>
      </w:r>
      <w:r>
        <w:t xml:space="preserve">from Q1's unusually low $1.91/lb</w:t>
      </w:r>
    </w:p>
    <w:p>
      <w:pPr>
        <w:pStyle w:val="FirstParagraph"/>
      </w:pPr>
      <w:r>
        <w:t xml:space="preserve">That cost step-up is worth flagging: Q1's $1.91 came in well below the $2.60 guide, driven by outsized by-product (gold) credits. Don't mistake a Q2 "miss" versus Q1 as deterioration — it's largely mix and guidance framing.</w:t>
      </w:r>
    </w:p>
    <w:p>
      <w:r>
        <w:pict>
          <v:rect style="width:0;height:1.5pt" o:hralign="center" o:hrstd="t" o:hr="t"/>
        </w:pict>
      </w:r>
    </w:p>
    <w:bookmarkEnd w:id="10"/>
    <w:bookmarkStart w:id="11" w:name="X7aca35a492635c1fdfa867622af4067f0c847bc"/>
    <w:p>
      <w:pPr>
        <w:pStyle w:val="Heading2"/>
      </w:pPr>
      <w:r>
        <w:t xml:space="preserve">The Number-One Storyline: Grasberg Ramp-Up</w:t>
      </w:r>
    </w:p>
    <w:p>
      <w:pPr>
        <w:pStyle w:val="FirstParagraph"/>
      </w:pPr>
      <w:r>
        <w:t xml:space="preserve">Everything at FCX right now revolves around the recovery from the</w:t>
      </w:r>
      <w:r>
        <w:t xml:space="preserve"> </w:t>
      </w:r>
      <w:r>
        <w:rPr>
          <w:b/>
          <w:bCs/>
        </w:rPr>
        <w:t xml:space="preserve">September 8, 2025 mud rush incident</w:t>
      </w:r>
      <w:r>
        <w:t xml:space="preserve"> </w:t>
      </w:r>
      <w:r>
        <w:t xml:space="preserve">at the Grasberg Block Cave (GBC) underground mine. This is the swing factor for 2026-2027 and the single most important thing to watch on the call.</w:t>
      </w:r>
    </w:p>
    <w:p>
      <w:pPr>
        <w:pStyle w:val="BodyText"/>
      </w:pPr>
      <w:r>
        <w:rPr>
          <w:b/>
          <w:bCs/>
        </w:rPr>
        <w:t xml:space="preserve">Where things stood as of the Q1 report:</w:t>
      </w:r>
    </w:p>
    <w:p>
      <w:pPr>
        <w:pStyle w:val="Compact"/>
        <w:numPr>
          <w:ilvl w:val="0"/>
          <w:numId w:val="1002"/>
        </w:numPr>
      </w:pPr>
      <w:r>
        <w:t xml:space="preserve">DMLZ and Big Gossan (unaffected mines) restarted in October 2025.</w:t>
      </w:r>
    </w:p>
    <w:p>
      <w:pPr>
        <w:pStyle w:val="Compact"/>
        <w:numPr>
          <w:ilvl w:val="0"/>
          <w:numId w:val="1002"/>
        </w:numPr>
      </w:pPr>
      <w:r>
        <w:t xml:space="preserve">GBC Production Blocks 2 &amp; 3 began initial ramp-up at end-March 2026.</w:t>
      </w:r>
    </w:p>
    <w:p>
      <w:pPr>
        <w:pStyle w:val="Compact"/>
        <w:numPr>
          <w:ilvl w:val="0"/>
          <w:numId w:val="1002"/>
        </w:numPr>
      </w:pPr>
      <w:r>
        <w:rPr>
          <w:b/>
          <w:bCs/>
        </w:rPr>
        <w:t xml:space="preserve">The bad news from Q1:</w:t>
      </w:r>
      <w:r>
        <w:t xml:space="preserve"> </w:t>
      </w:r>
      <w:r>
        <w:t xml:space="preserve">upon restart, PTFI found far more "wet" drawpoints than expected, requiring modifications to the ore-loading chute system. Near-term output from Blocks 2 &amp; 3 is capped at</w:t>
      </w:r>
      <w:r>
        <w:t xml:space="preserve"> </w:t>
      </w:r>
      <w:r>
        <w:rPr>
          <w:b/>
          <w:bCs/>
        </w:rPr>
        <w:t xml:space="preserve">~60% of capacity</w:t>
      </w:r>
      <w:r>
        <w:t xml:space="preserve"> </w:t>
      </w:r>
      <w:r>
        <w:t xml:space="preserve">until fixes are made (targeted mid-2027).</w:t>
      </w:r>
    </w:p>
    <w:p>
      <w:pPr>
        <w:pStyle w:val="Compact"/>
        <w:numPr>
          <w:ilvl w:val="0"/>
          <w:numId w:val="1002"/>
        </w:numPr>
      </w:pPr>
      <w:r>
        <w:t xml:space="preserve">Management</w:t>
      </w:r>
      <w:r>
        <w:t xml:space="preserve"> </w:t>
      </w:r>
      <w:r>
        <w:rPr>
          <w:b/>
          <w:bCs/>
        </w:rPr>
        <w:t xml:space="preserve">cut its ramp trajectory</w:t>
      </w:r>
      <w:r>
        <w:t xml:space="preserve">: overall PTFI rates now expected at</w:t>
      </w:r>
      <w:r>
        <w:t xml:space="preserve"> </w:t>
      </w:r>
      <w:r>
        <w:rPr>
          <w:b/>
          <w:bCs/>
        </w:rPr>
        <w:t xml:space="preserve">~65% of capacity in 2H 2026</w:t>
      </w:r>
      <w:r>
        <w:t xml:space="preserve"> </w:t>
      </w:r>
      <w:r>
        <w:t xml:space="preserve">(down from ~85% previously), ~80% by mid-2027, and approaching full capacity only by</w:t>
      </w:r>
      <w:r>
        <w:t xml:space="preserve"> </w:t>
      </w:r>
      <w:r>
        <w:rPr>
          <w:b/>
          <w:bCs/>
        </w:rPr>
        <w:t xml:space="preserve">end of 2027</w:t>
      </w:r>
      <w:r>
        <w:t xml:space="preserve">.</w:t>
      </w:r>
    </w:p>
    <w:p>
      <w:pPr>
        <w:pStyle w:val="Compact"/>
        <w:numPr>
          <w:ilvl w:val="0"/>
          <w:numId w:val="1002"/>
        </w:numPr>
      </w:pPr>
      <w:r>
        <w:t xml:space="preserve">This dragged FY2026 copper sales guidance down to</w:t>
      </w:r>
      <w:r>
        <w:t xml:space="preserve"> </w:t>
      </w:r>
      <w:r>
        <w:rPr>
          <w:b/>
          <w:bCs/>
        </w:rPr>
        <w:t xml:space="preserve">3.1B lbs</w:t>
      </w:r>
      <w:r>
        <w:t xml:space="preserve"> </w:t>
      </w:r>
      <w:r>
        <w:t xml:space="preserve">(from 3.4B in January) and gold to</w:t>
      </w:r>
      <w:r>
        <w:t xml:space="preserve"> </w:t>
      </w:r>
      <w:r>
        <w:rPr>
          <w:b/>
          <w:bCs/>
        </w:rPr>
        <w:t xml:space="preserve">650k oz</w:t>
      </w:r>
      <w:r>
        <w:t xml:space="preserve"> </w:t>
      </w:r>
      <w:r>
        <w:t xml:space="preserve">(from 800k).</w:t>
      </w:r>
    </w:p>
    <w:p>
      <w:pPr>
        <w:pStyle w:val="FirstParagraph"/>
      </w:pPr>
      <w:r>
        <w:rPr>
          <w:b/>
          <w:bCs/>
        </w:rPr>
        <w:t xml:space="preserve">What to watch Thursday:</w:t>
      </w:r>
    </w:p>
    <w:p>
      <w:pPr>
        <w:pStyle w:val="Compact"/>
        <w:numPr>
          <w:ilvl w:val="0"/>
          <w:numId w:val="1003"/>
        </w:numPr>
      </w:pPr>
      <w:r>
        <w:rPr>
          <w:b/>
          <w:bCs/>
        </w:rPr>
        <w:t xml:space="preserve">Any further change to the ramp schedule.</w:t>
      </w:r>
      <w:r>
        <w:t xml:space="preserve"> </w:t>
      </w:r>
      <w:r>
        <w:t xml:space="preserve">Management explicitly warned that at this early stage, forecasts are "inherently more variable" and could move in either direction. Given the negative surprise last quarter, the risk skew is toward caution. A</w:t>
      </w:r>
      <w:r>
        <w:t xml:space="preserve"> </w:t>
      </w:r>
      <w:r>
        <w:rPr>
          <w:i/>
          <w:iCs/>
        </w:rPr>
        <w:t xml:space="preserve">reaffirmation</w:t>
      </w:r>
      <w:r>
        <w:t xml:space="preserve"> </w:t>
      </w:r>
      <w:r>
        <w:t xml:space="preserve">of the 65% 2H'26 target would be a relief; another cut would sting.</w:t>
      </w:r>
    </w:p>
    <w:p>
      <w:pPr>
        <w:pStyle w:val="Compact"/>
        <w:numPr>
          <w:ilvl w:val="0"/>
          <w:numId w:val="1003"/>
        </w:numPr>
      </w:pPr>
      <w:r>
        <w:rPr>
          <w:b/>
          <w:bCs/>
        </w:rPr>
        <w:t xml:space="preserve">The $0.7B insurance settlement.</w:t>
      </w:r>
      <w:r>
        <w:t xml:space="preserve"> </w:t>
      </w:r>
      <w:r>
        <w:t xml:space="preserve">FCX booked a $699M gain in Q1 and said cash proceeds would arrive in Q2 — watch the cash flow statement.</w:t>
      </w:r>
    </w:p>
    <w:p>
      <w:pPr>
        <w:pStyle w:val="Compact"/>
        <w:numPr>
          <w:ilvl w:val="0"/>
          <w:numId w:val="1003"/>
        </w:numPr>
      </w:pPr>
      <w:r>
        <w:rPr>
          <w:b/>
          <w:bCs/>
        </w:rPr>
        <w:t xml:space="preserve">Idle facility costs</w:t>
      </w:r>
      <w:r>
        <w:t xml:space="preserve"> </w:t>
      </w:r>
      <w:r>
        <w:t xml:space="preserve">($406M in Q1) that are being expensed while PTFI runs below capacity, plus the downstream smelter (PTFI smelter / PT Smelting) restart cadence, which affects the production-vs-sales gap.</w:t>
      </w:r>
    </w:p>
    <w:p>
      <w:pPr>
        <w:pStyle w:val="Compact"/>
        <w:numPr>
          <w:ilvl w:val="0"/>
          <w:numId w:val="1003"/>
        </w:numPr>
      </w:pPr>
      <w:r>
        <w:rPr>
          <w:b/>
          <w:bCs/>
        </w:rPr>
        <w:t xml:space="preserve">IUPK extension.</w:t>
      </w:r>
      <w:r>
        <w:t xml:space="preserve"> </w:t>
      </w:r>
      <w:r>
        <w:t xml:space="preserve">FCX signed an MOU in February for a life-of-resource extension beyond 2041 (keeping 48.76% through 2041, ~37% thereafter). Progress on finalizing this de-risks the long-term Grasberg story.</w:t>
      </w:r>
    </w:p>
    <w:p>
      <w:r>
        <w:pict>
          <v:rect style="width:0;height:1.5pt" o:hralign="center" o:hrstd="t" o:hr="t"/>
        </w:pict>
      </w:r>
    </w:p>
    <w:bookmarkEnd w:id="11"/>
    <w:bookmarkStart w:id="12" w:name="Xa12fd1e58ee6182c262a52959d3fb3b3ff0357f"/>
    <w:p>
      <w:pPr>
        <w:pStyle w:val="Heading2"/>
      </w:pPr>
      <w:r>
        <w:t xml:space="preserve">The Macro Tailwind: Copper Prices &amp; Tariffs</w:t>
      </w:r>
    </w:p>
    <w:p>
      <w:pPr>
        <w:pStyle w:val="FirstParagraph"/>
      </w:pPr>
      <w:r>
        <w:t xml:space="preserve">The commodity backdrop is doing FCX a lot of favors:</w:t>
      </w:r>
    </w:p>
    <w:p>
      <w:pPr>
        <w:pStyle w:val="Compact"/>
        <w:numPr>
          <w:ilvl w:val="0"/>
          <w:numId w:val="1004"/>
        </w:numPr>
      </w:pPr>
      <w:r>
        <w:rPr>
          <w:b/>
          <w:bCs/>
        </w:rPr>
        <w:t xml:space="preserve">Copper is trading around $6.40+/lb</w:t>
      </w:r>
      <w:r>
        <w:t xml:space="preserve"> </w:t>
      </w:r>
      <w:r>
        <w:t xml:space="preserve">(COMEX), up roughly ~11% year-over-year, supported by AI/data-center power buildout, grid electrification, and a widely-forecast structural supply deficit (~600kt for 2026). The "copper as an AI beneficiary" narrative is a big reason FCX has outperformed.</w:t>
      </w:r>
    </w:p>
    <w:p>
      <w:pPr>
        <w:pStyle w:val="Compact"/>
        <w:numPr>
          <w:ilvl w:val="0"/>
          <w:numId w:val="1004"/>
        </w:numPr>
      </w:pPr>
      <w:r>
        <w:rPr>
          <w:b/>
          <w:bCs/>
        </w:rPr>
        <w:t xml:space="preserve">Leverage is enormous:</w:t>
      </w:r>
      <w:r>
        <w:t xml:space="preserve"> </w:t>
      </w:r>
      <w:r>
        <w:t xml:space="preserve">FCX guides that each</w:t>
      </w:r>
      <w:r>
        <w:t xml:space="preserve"> </w:t>
      </w:r>
      <m:oMath>
        <m:r>
          <m:t>0.10</m:t>
        </m:r>
        <m:r>
          <m:rPr>
            <m:sty m:val="p"/>
          </m:rPr>
          <m:t>/</m:t>
        </m:r>
        <m:r>
          <m:t>l</m:t>
        </m:r>
        <m:r>
          <m:t>b</m:t>
        </m:r>
        <m:r>
          <m:rPr>
            <m:sty m:val="p"/>
          </m:rPr>
          <m:t>*</m:t>
        </m:r>
        <m:r>
          <m:rPr>
            <m:sty m:val="p"/>
          </m:rPr>
          <m:t>*</m:t>
        </m:r>
        <m:r>
          <m:t>c</m:t>
        </m:r>
        <m:r>
          <m:t>h</m:t>
        </m:r>
        <m:r>
          <m:t>a</m:t>
        </m:r>
        <m:r>
          <m:t>n</m:t>
        </m:r>
        <m:r>
          <m:t>g</m:t>
        </m:r>
        <m:r>
          <m:t>e</m:t>
        </m:r>
        <m:r>
          <m:t>i</m:t>
        </m:r>
        <m:r>
          <m:t>n</m:t>
        </m:r>
        <m:r>
          <m:t>c</m:t>
        </m:r>
        <m:r>
          <m:t>o</m:t>
        </m:r>
        <m:r>
          <m:t>p</m:t>
        </m:r>
        <m:r>
          <m:t>p</m:t>
        </m:r>
        <m:r>
          <m:t>e</m:t>
        </m:r>
        <m:r>
          <m:t>r</m:t>
        </m:r>
        <m:r>
          <m:t>a</m:t>
        </m:r>
        <m:r>
          <m:t>d</m:t>
        </m:r>
        <m:r>
          <m:t>d</m:t>
        </m:r>
        <m:r>
          <m:t>s</m:t>
        </m:r>
        <m:r>
          <m:t> </m:t>
        </m:r>
        <m:r>
          <m:rPr>
            <m:sty m:val="p"/>
          </m:rPr>
          <m:t>*</m:t>
        </m:r>
        <m:r>
          <m:rPr>
            <m:sty m:val="p"/>
          </m:rPr>
          <m:t>*</m:t>
        </m:r>
      </m:oMath>
      <w:r>
        <w:rPr>
          <w:b/>
          <w:bCs/>
        </w:rPr>
        <w:t xml:space="preserve">220M</w:t>
      </w:r>
      <w:r>
        <w:t xml:space="preserve"> </w:t>
      </w:r>
      <w:r>
        <w:t xml:space="preserve">to full-year operating cash flow (and each</w:t>
      </w:r>
      <w:r>
        <w:t xml:space="preserve"> </w:t>
      </w:r>
      <m:oMath>
        <m:r>
          <m:t>100</m:t>
        </m:r>
        <m:r>
          <m:rPr>
            <m:sty m:val="p"/>
          </m:rPr>
          <m:t>/</m:t>
        </m:r>
        <m:r>
          <m:t>o</m:t>
        </m:r>
        <m:r>
          <m:t>z</m:t>
        </m:r>
        <m:r>
          <m:t>o</m:t>
        </m:r>
        <m:r>
          <m:t>f</m:t>
        </m:r>
        <m:r>
          <m:t>g</m:t>
        </m:r>
        <m:r>
          <m:t>o</m:t>
        </m:r>
        <m:r>
          <m:t>l</m:t>
        </m:r>
        <m:r>
          <m:t>d</m:t>
        </m:r>
        <m:r>
          <m:t> </m:t>
        </m:r>
      </m:oMath>
      <w:r>
        <w:t xml:space="preserve">50M). FY operating cash flow was guided to ~</w:t>
      </w:r>
      <w:r>
        <w:rPr>
          <w:b/>
          <w:bCs/>
        </w:rPr>
        <w:t xml:space="preserve">$8.7B</w:t>
      </w:r>
      <w:r>
        <w:t xml:space="preserve"> </w:t>
      </w:r>
      <w:r>
        <w:t xml:space="preserve">assuming just $6.00 copper / $4,500 gold for the rest of the year — so spot prices above those levels imply upside.</w:t>
      </w:r>
    </w:p>
    <w:p>
      <w:pPr>
        <w:pStyle w:val="Compact"/>
        <w:numPr>
          <w:ilvl w:val="0"/>
          <w:numId w:val="1004"/>
        </w:numPr>
      </w:pPr>
      <w:r>
        <w:rPr>
          <w:b/>
          <w:bCs/>
        </w:rPr>
        <w:t xml:space="preserve">Section 232 tariffs (50% on semi-finished/refined copper, effective April 6, 2026)</w:t>
      </w:r>
      <w:r>
        <w:t xml:space="preserve"> </w:t>
      </w:r>
      <w:r>
        <w:t xml:space="preserve">are a structural positive for FCX's ~1.4B lbs of</w:t>
      </w:r>
      <w:r>
        <w:t xml:space="preserve"> </w:t>
      </w:r>
      <w:r>
        <w:rPr>
          <w:b/>
          <w:bCs/>
        </w:rPr>
        <w:t xml:space="preserve">U.S. production</w:t>
      </w:r>
      <w:r>
        <w:t xml:space="preserve">, which sells at the COMEX price (running at a premium to LME). In Q1, FCX's U.S. realized price (</w:t>
      </w:r>
      <m:oMath>
        <m:r>
          <m:t>5.85</m:t>
        </m:r>
        <m:r>
          <m:rPr>
            <m:sty m:val="p"/>
          </m:rPr>
          <m:t>/</m:t>
        </m:r>
        <m:r>
          <m:t>l</m:t>
        </m:r>
        <m:r>
          <m:t>b</m:t>
        </m:r>
        <m:r>
          <m:rPr>
            <m:sty m:val="p"/>
          </m:rPr>
          <m:t>)</m:t>
        </m:r>
        <m:r>
          <m:t>a</m:t>
        </m:r>
        <m:r>
          <m:t>l</m:t>
        </m:r>
        <m:r>
          <m:t>r</m:t>
        </m:r>
        <m:r>
          <m:t>e</m:t>
        </m:r>
        <m:r>
          <m:t>a</m:t>
        </m:r>
        <m:r>
          <m:t>d</m:t>
        </m:r>
        <m:r>
          <m:t>y</m:t>
        </m:r>
        <m:r>
          <m:t>e</m:t>
        </m:r>
        <m:r>
          <m:t>x</m:t>
        </m:r>
        <m:r>
          <m:t>c</m:t>
        </m:r>
        <m:r>
          <m:t>e</m:t>
        </m:r>
        <m:r>
          <m:t>e</m:t>
        </m:r>
        <m:r>
          <m:t>d</m:t>
        </m:r>
        <m:r>
          <m:t>e</m:t>
        </m:r>
        <m:r>
          <m:t>d</m:t>
        </m:r>
        <m:r>
          <m:t>S</m:t>
        </m:r>
        <m:r>
          <m:t>o</m:t>
        </m:r>
        <m:r>
          <m:t>u</m:t>
        </m:r>
        <m:r>
          <m:t>t</m:t>
        </m:r>
        <m:r>
          <m:t>h</m:t>
        </m:r>
        <m:r>
          <m:t>A</m:t>
        </m:r>
        <m:r>
          <m:t>m</m:t>
        </m:r>
        <m:r>
          <m:t>e</m:t>
        </m:r>
        <m:r>
          <m:t>r</m:t>
        </m:r>
        <m:r>
          <m:t>i</m:t>
        </m:r>
        <m:r>
          <m:t>c</m:t>
        </m:r>
        <m:r>
          <m:t>a</m:t>
        </m:r>
        <m:r>
          <m:rPr>
            <m:sty m:val="p"/>
          </m:rPr>
          <m:t>(</m:t>
        </m:r>
      </m:oMath>
      <w:r>
        <w:t xml:space="preserve">5.66). FCX has leaned into its</w:t>
      </w:r>
      <w:r>
        <w:t xml:space="preserve"> </w:t>
      </w:r>
      <w:r>
        <w:rPr>
          <w:b/>
          <w:bCs/>
        </w:rPr>
        <w:t xml:space="preserve">"America's Copper Champion"</w:t>
      </w:r>
      <w:r>
        <w:t xml:space="preserve"> </w:t>
      </w:r>
      <w:r>
        <w:t xml:space="preserve">positioning. Watch for updated commentary on the COMEX-LME spread and how much the tariff premium is flowing to the bottom line.</w:t>
      </w:r>
    </w:p>
    <w:p>
      <w:pPr>
        <w:pStyle w:val="FirstParagraph"/>
      </w:pPr>
      <w:r>
        <w:rPr>
          <w:b/>
          <w:bCs/>
        </w:rPr>
        <w:t xml:space="preserve">The offset — cost inflation.</w:t>
      </w:r>
      <w:r>
        <w:t xml:space="preserve"> </w:t>
      </w:r>
      <w:r>
        <w:t xml:space="preserve">The onset of Middle East conflict in late February 2026 drove up diesel, sulfur, and sulfuric acid costs, and FCX raised its cost guidance accordingly (FY unit cash cost ~</w:t>
      </w:r>
      <m:oMath>
        <m:r>
          <m:t>1.95</m:t>
        </m:r>
        <m:r>
          <m:rPr>
            <m:sty m:val="p"/>
          </m:rPr>
          <m:t>/</m:t>
        </m:r>
        <m:r>
          <m:t>l</m:t>
        </m:r>
        <m:r>
          <m:t>b</m:t>
        </m:r>
        <m:r>
          <m:rPr>
            <m:sty m:val="p"/>
          </m:rPr>
          <m:t>,</m:t>
        </m:r>
        <m:r>
          <m:t>w</m:t>
        </m:r>
        <m:r>
          <m:t>i</m:t>
        </m:r>
        <m:r>
          <m:t>t</m:t>
        </m:r>
        <m:r>
          <m:t>h</m:t>
        </m:r>
        <m:r>
          <m:t>U</m:t>
        </m:r>
        <m:r>
          <m:rPr>
            <m:sty m:val="p"/>
          </m:rPr>
          <m:t>.</m:t>
        </m:r>
        <m:r>
          <m:t>S</m:t>
        </m:r>
        <m:r>
          <m:rPr>
            <m:sty m:val="p"/>
          </m:rPr>
          <m:t>.</m:t>
        </m:r>
        <m:r>
          <m:t>m</m:t>
        </m:r>
        <m:r>
          <m:t>i</m:t>
        </m:r>
        <m:r>
          <m:t>n</m:t>
        </m:r>
        <m:r>
          <m:t>e</m:t>
        </m:r>
        <m:r>
          <m:t>s</m:t>
        </m:r>
        <m:r>
          <m:t> </m:t>
        </m:r>
      </m:oMath>
      <w:r>
        <w:t xml:space="preserve">3.02 and South America ~$2.60). Listen for whether these input costs are stabilizing or still climbing.</w:t>
      </w:r>
    </w:p>
    <w:p>
      <w:r>
        <w:pict>
          <v:rect style="width:0;height:1.5pt" o:hralign="center" o:hrstd="t" o:hr="t"/>
        </w:pict>
      </w:r>
    </w:p>
    <w:bookmarkEnd w:id="12"/>
    <w:bookmarkStart w:id="13" w:name="capital-returns--balance-sheet"/>
    <w:p>
      <w:pPr>
        <w:pStyle w:val="Heading2"/>
      </w:pPr>
      <w:r>
        <w:t xml:space="preserve">Capital Returns &amp; Balance Sheet</w:t>
      </w:r>
    </w:p>
    <w:p>
      <w:pPr>
        <w:pStyle w:val="FirstParagraph"/>
      </w:pPr>
      <w:r>
        <w:t xml:space="preserve">FCX has ample flexibility here:</w:t>
      </w:r>
    </w:p>
    <w:p>
      <w:pPr>
        <w:pStyle w:val="Compact"/>
        <w:numPr>
          <w:ilvl w:val="0"/>
          <w:numId w:val="1005"/>
        </w:numPr>
      </w:pPr>
      <w:r>
        <w:rPr>
          <w:b/>
          <w:bCs/>
        </w:rPr>
        <w:t xml:space="preserve">Net debt was just $2.4B</w:t>
      </w:r>
      <w:r>
        <w:t xml:space="preserve"> </w:t>
      </w:r>
      <w:r>
        <w:t xml:space="preserve">at March 31 (excluding $3.2B of PTFI smelter project debt) —</w:t>
      </w:r>
      <w:r>
        <w:t xml:space="preserve"> </w:t>
      </w:r>
      <w:r>
        <w:rPr>
          <w:i/>
          <w:iCs/>
        </w:rPr>
        <w:t xml:space="preserve">below</w:t>
      </w:r>
      <w:r>
        <w:t xml:space="preserve"> </w:t>
      </w:r>
      <w:r>
        <w:t xml:space="preserve">the $3-4B target, which theoretically opens room for more shareholder returns under the performance-based framework (up to 50% of FCF after capex/distributions).</w:t>
      </w:r>
    </w:p>
    <w:p>
      <w:pPr>
        <w:pStyle w:val="Compact"/>
        <w:numPr>
          <w:ilvl w:val="0"/>
          <w:numId w:val="1005"/>
        </w:numPr>
      </w:pPr>
      <w:r>
        <w:rPr>
          <w:b/>
          <w:bCs/>
        </w:rPr>
        <w:t xml:space="preserve">Dividend:</w:t>
      </w:r>
      <w:r>
        <w:t xml:space="preserve"> </w:t>
      </w:r>
      <m:oMath>
        <m:r>
          <m:t>0.15</m:t>
        </m:r>
        <m:r>
          <m:rPr>
            <m:sty m:val="p"/>
          </m:rPr>
          <m:t>/</m:t>
        </m:r>
        <m:r>
          <m:t>q</m:t>
        </m:r>
        <m:r>
          <m:t>u</m:t>
        </m:r>
        <m:r>
          <m:t>a</m:t>
        </m:r>
        <m:r>
          <m:t>r</m:t>
        </m:r>
        <m:r>
          <m:t>t</m:t>
        </m:r>
        <m:r>
          <m:t>e</m:t>
        </m:r>
        <m:r>
          <m:t>r</m:t>
        </m:r>
        <m:r>
          <m:rPr>
            <m:sty m:val="p"/>
          </m:rPr>
          <m:t>(</m:t>
        </m:r>
      </m:oMath>
      <w:r>
        <w:t xml:space="preserve">0.075 base + $0.075 variable). Watch whether strong prices prompt a bump to the variable component.</w:t>
      </w:r>
    </w:p>
    <w:p>
      <w:pPr>
        <w:pStyle w:val="Compact"/>
        <w:numPr>
          <w:ilvl w:val="0"/>
          <w:numId w:val="1005"/>
        </w:numPr>
      </w:pPr>
      <w:r>
        <w:rPr>
          <w:b/>
          <w:bCs/>
        </w:rPr>
        <w:t xml:space="preserve">Buybacks:</w:t>
      </w:r>
      <w:r>
        <w:t xml:space="preserve"> </w:t>
      </w:r>
      <w:r>
        <w:t xml:space="preserve">only</w:t>
      </w:r>
      <w:r>
        <w:t xml:space="preserve"> </w:t>
      </w:r>
      <m:oMath>
        <m:r>
          <m:t>93</m:t>
        </m:r>
        <m:r>
          <m:t>M</m:t>
        </m:r>
        <m:r>
          <m:t>r</m:t>
        </m:r>
        <m:r>
          <m:t>e</m:t>
        </m:r>
        <m:r>
          <m:t>p</m:t>
        </m:r>
        <m:r>
          <m:t>u</m:t>
        </m:r>
        <m:r>
          <m:t>r</m:t>
        </m:r>
        <m:r>
          <m:t>c</m:t>
        </m:r>
        <m:r>
          <m:t>h</m:t>
        </m:r>
        <m:r>
          <m:t>a</m:t>
        </m:r>
        <m:r>
          <m:t>s</m:t>
        </m:r>
        <m:r>
          <m:t>e</m:t>
        </m:r>
        <m:r>
          <m:t>d</m:t>
        </m:r>
        <m:r>
          <m:t>i</m:t>
        </m:r>
        <m:r>
          <m:t>n</m:t>
        </m:r>
        <m:r>
          <m:t>Q</m:t>
        </m:r>
        <m:r>
          <m:t>1</m:t>
        </m:r>
        <m:r>
          <m:rPr>
            <m:sty m:val="p"/>
          </m:rPr>
          <m:t>(</m:t>
        </m:r>
      </m:oMath>
      <w:r>
        <w:t xml:space="preserve">54.25 avg), with</w:t>
      </w:r>
      <w:r>
        <w:t xml:space="preserve"> </w:t>
      </w:r>
      <w:r>
        <w:rPr>
          <w:b/>
          <w:bCs/>
        </w:rPr>
        <w:t xml:space="preserve">$2.9B remaining</w:t>
      </w:r>
      <w:r>
        <w:t xml:space="preserve"> </w:t>
      </w:r>
      <w:r>
        <w:t xml:space="preserve">on the $5B authorization. Buyback pace has been modest — a pickup would signal confidence.</w:t>
      </w:r>
    </w:p>
    <w:p>
      <w:pPr>
        <w:pStyle w:val="Compact"/>
        <w:numPr>
          <w:ilvl w:val="0"/>
          <w:numId w:val="1005"/>
        </w:numPr>
      </w:pPr>
      <w:r>
        <w:t xml:space="preserve">No debt maturities in 2026; $1.3B due in 2027.</w:t>
      </w:r>
    </w:p>
    <w:p>
      <w:r>
        <w:pict>
          <v:rect style="width:0;height:1.5pt" o:hralign="center" o:hrstd="t" o:hr="t"/>
        </w:pict>
      </w:r>
    </w:p>
    <w:bookmarkEnd w:id="13"/>
    <w:bookmarkStart w:id="14" w:name="growth-pipeline-longer-term-optionality"/>
    <w:p>
      <w:pPr>
        <w:pStyle w:val="Heading2"/>
      </w:pPr>
      <w:r>
        <w:t xml:space="preserve">Growth Pipeline (longer-term optionality)</w:t>
      </w:r>
    </w:p>
    <w:p>
      <w:pPr>
        <w:pStyle w:val="FirstParagraph"/>
      </w:pPr>
      <w:r>
        <w:t xml:space="preserve">Management will likely reiterate its organic growth story, which underpins the premium valuation:</w:t>
      </w:r>
    </w:p>
    <w:p>
      <w:pPr>
        <w:pStyle w:val="Compact"/>
        <w:numPr>
          <w:ilvl w:val="0"/>
          <w:numId w:val="1006"/>
        </w:numPr>
      </w:pPr>
      <w:r>
        <w:rPr>
          <w:b/>
          <w:bCs/>
        </w:rPr>
        <w:t xml:space="preserve">Leaching/technology innovation:</w:t>
      </w:r>
      <w:r>
        <w:t xml:space="preserve"> </w:t>
      </w:r>
      <w:r>
        <w:t xml:space="preserve">targeting ~300M lbs of low-cost incremental copper in 2026 (54M lbs in Q1).</w:t>
      </w:r>
    </w:p>
    <w:p>
      <w:pPr>
        <w:pStyle w:val="Compact"/>
        <w:numPr>
          <w:ilvl w:val="0"/>
          <w:numId w:val="1006"/>
        </w:numPr>
      </w:pPr>
      <w:r>
        <w:rPr>
          <w:b/>
          <w:bCs/>
        </w:rPr>
        <w:t xml:space="preserve">Bagdad expansion (AZ):</w:t>
      </w:r>
      <w:r>
        <w:t xml:space="preserve"> </w:t>
      </w:r>
      <w:r>
        <w:t xml:space="preserve">potential investment decision in</w:t>
      </w:r>
      <w:r>
        <w:t xml:space="preserve"> </w:t>
      </w:r>
      <w:r>
        <w:rPr>
          <w:b/>
          <w:bCs/>
        </w:rPr>
        <w:t xml:space="preserve">2H 2026</w:t>
      </w:r>
      <w:r>
        <w:t xml:space="preserve"> </w:t>
      </w:r>
      <w:r>
        <w:t xml:space="preserve">(+200-250M lbs/yr, ~</w:t>
      </w:r>
      <m:oMath>
        <m:r>
          <m:t>3.5</m:t>
        </m:r>
        <m:r>
          <m:t>B</m:t>
        </m:r>
        <m:r>
          <m:t>c</m:t>
        </m:r>
        <m:r>
          <m:t>a</m:t>
        </m:r>
        <m:r>
          <m:t>p</m:t>
        </m:r>
        <m:r>
          <m:t>e</m:t>
        </m:r>
        <m:r>
          <m:t>x</m:t>
        </m:r>
        <m:r>
          <m:rPr>
            <m:sty m:val="p"/>
          </m:rPr>
          <m:t>,</m:t>
        </m:r>
        <m:r>
          <m:t>n</m:t>
        </m:r>
        <m:r>
          <m:t>e</m:t>
        </m:r>
        <m:r>
          <m:t>e</m:t>
        </m:r>
        <m:r>
          <m:t>d</m:t>
        </m:r>
        <m:r>
          <m:t>s</m:t>
        </m:r>
        <m:r>
          <m:t> </m:t>
        </m:r>
      </m:oMath>
      <w:r>
        <w:t xml:space="preserve">4.00/lb incentive price).</w:t>
      </w:r>
    </w:p>
    <w:p>
      <w:pPr>
        <w:pStyle w:val="Compact"/>
        <w:numPr>
          <w:ilvl w:val="0"/>
          <w:numId w:val="1006"/>
        </w:numPr>
      </w:pPr>
      <w:r>
        <w:rPr>
          <w:b/>
          <w:bCs/>
        </w:rPr>
        <w:t xml:space="preserve">El Abra (Chile):</w:t>
      </w:r>
      <w:r>
        <w:t xml:space="preserve"> </w:t>
      </w:r>
      <w:r>
        <w:t xml:space="preserve">EIS submitted March 2026; could add 700M+ lbs/yr.</w:t>
      </w:r>
    </w:p>
    <w:p>
      <w:pPr>
        <w:pStyle w:val="Compact"/>
        <w:numPr>
          <w:ilvl w:val="0"/>
          <w:numId w:val="1006"/>
        </w:numPr>
      </w:pPr>
      <w:r>
        <w:rPr>
          <w:b/>
          <w:bCs/>
        </w:rPr>
        <w:t xml:space="preserve">Safford/Lone Star</w:t>
      </w:r>
      <w:r>
        <w:t xml:space="preserve"> </w:t>
      </w:r>
      <w:r>
        <w:t xml:space="preserve">pre-feasibility studies expected in 2026.</w:t>
      </w:r>
    </w:p>
    <w:p>
      <w:pPr>
        <w:pStyle w:val="Compact"/>
        <w:numPr>
          <w:ilvl w:val="0"/>
          <w:numId w:val="1006"/>
        </w:numPr>
      </w:pPr>
      <w:r>
        <w:rPr>
          <w:b/>
          <w:bCs/>
        </w:rPr>
        <w:t xml:space="preserve">Kucing Liar</w:t>
      </w:r>
      <w:r>
        <w:t xml:space="preserve"> </w:t>
      </w:r>
      <w:r>
        <w:t xml:space="preserve">(Grasberg) ramping ~2030; reserves upsized.</w:t>
      </w:r>
    </w:p>
    <w:p>
      <w:pPr>
        <w:pStyle w:val="Compact"/>
        <w:numPr>
          <w:ilvl w:val="0"/>
          <w:numId w:val="1006"/>
        </w:numPr>
      </w:pPr>
      <w:r>
        <w:t xml:space="preserve">FY capex guided to **</w:t>
      </w:r>
      <m:oMath>
        <m:r>
          <m:t>4.3</m:t>
        </m:r>
        <m:r>
          <m:t>B</m:t>
        </m:r>
        <m:r>
          <m:rPr>
            <m:sty m:val="p"/>
          </m:rPr>
          <m:t>*</m:t>
        </m:r>
        <m:r>
          <m:rPr>
            <m:sty m:val="p"/>
          </m:rPr>
          <m:t>*</m:t>
        </m:r>
        <m:r>
          <m:rPr>
            <m:sty m:val="p"/>
          </m:rPr>
          <m:t>(</m:t>
        </m:r>
      </m:oMath>
      <w:r>
        <w:t xml:space="preserve">3.0B major projects) — watch for any changes given the Grasberg re-sequencing.</w:t>
      </w:r>
    </w:p>
    <w:p>
      <w:r>
        <w:pict>
          <v:rect style="width:0;height:1.5pt" o:hralign="center" o:hrstd="t" o:hr="t"/>
        </w:pict>
      </w:r>
    </w:p>
    <w:bookmarkEnd w:id="14"/>
    <w:bookmarkStart w:id="15" w:name="bottom-line--what-matters-most"/>
    <w:p>
      <w:pPr>
        <w:pStyle w:val="Heading2"/>
      </w:pPr>
      <w:r>
        <w:t xml:space="preserve">Bottom Line — What Matters Most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Watch item</w:t>
            </w:r>
          </w:p>
        </w:tc>
        <w:tc>
          <w:tcPr/>
          <w:p>
            <w:pPr>
              <w:pStyle w:val="Compact"/>
            </w:pPr>
            <w:r>
              <w:t xml:space="preserve">Why it matters</w:t>
            </w:r>
          </w:p>
        </w:tc>
        <w:tc>
          <w:tcPr/>
          <w:p>
            <w:pPr>
              <w:pStyle w:val="Compact"/>
            </w:pPr>
            <w:r>
              <w:t xml:space="preserve">Bull vs. Bear</w:t>
            </w:r>
          </w:p>
        </w:tc>
      </w:tr>
      <w:tr>
        <w:tc>
          <w:tcPr/>
          <w:p>
            <w:pPr>
              <w:pStyle w:val="Compact"/>
            </w:pPr>
            <w:r>
              <w:rPr>
                <w:b/>
                <w:bCs/>
              </w:rPr>
              <w:t xml:space="preserve">Grasberg ramp guidance</w:t>
            </w:r>
          </w:p>
        </w:tc>
        <w:tc>
          <w:tcPr/>
          <w:p>
            <w:pPr>
              <w:pStyle w:val="Compact"/>
            </w:pPr>
            <w:r>
              <w:t xml:space="preserve">Biggest swing factor for '26-'27 volumes</w:t>
            </w:r>
          </w:p>
        </w:tc>
        <w:tc>
          <w:tcPr/>
          <w:p>
            <w:pPr>
              <w:pStyle w:val="Compact"/>
            </w:pPr>
            <w:r>
              <w:t xml:space="preserve">Reaffirm = relief; another cut = negative</w:t>
            </w:r>
          </w:p>
        </w:tc>
      </w:tr>
      <w:tr>
        <w:tc>
          <w:tcPr/>
          <w:p>
            <w:pPr>
              <w:pStyle w:val="Compact"/>
            </w:pPr>
            <w:r>
              <w:rPr>
                <w:b/>
                <w:bCs/>
              </w:rPr>
              <w:t xml:space="preserve">Copper price commentary / tariff premium</w:t>
            </w:r>
          </w:p>
        </w:tc>
        <w:tc>
          <w:tcPr/>
          <w:p>
            <w:pPr>
              <w:pStyle w:val="Compact"/>
            </w:pPr>
            <w:r>
              <w:t xml:space="preserve">Drives cash flow leverage &amp; U.S. margins</w:t>
            </w:r>
          </w:p>
        </w:tc>
        <w:tc>
          <w:tcPr/>
          <w:p>
            <w:pPr>
              <w:pStyle w:val="Compact"/>
            </w:pPr>
            <w:r>
              <w:t xml:space="preserve">Spot &gt; $6.40 vs. $6.00 guide = upside</w:t>
            </w:r>
          </w:p>
        </w:tc>
      </w:tr>
      <w:tr>
        <w:tc>
          <w:tcPr/>
          <w:p>
            <w:pPr>
              <w:pStyle w:val="Compact"/>
            </w:pPr>
            <w:r>
              <w:rPr>
                <w:b/>
                <w:bCs/>
              </w:rPr>
              <w:t xml:space="preserve">Unit cost trajectory</w:t>
            </w:r>
          </w:p>
        </w:tc>
        <w:tc>
          <w:tcPr/>
          <w:p>
            <w:pPr>
              <w:pStyle w:val="Compact"/>
            </w:pPr>
            <w:r>
              <w:t xml:space="preserve">Energy/acid inflation vs. by-product credits</w:t>
            </w:r>
          </w:p>
        </w:tc>
        <w:tc>
          <w:tcPr/>
          <w:p>
            <w:pPr>
              <w:pStyle w:val="Compact"/>
            </w:pPr>
            <w:r>
              <w:t xml:space="preserve">Watch $2.24 Q2 guide</w:t>
            </w:r>
          </w:p>
        </w:tc>
      </w:tr>
      <w:tr>
        <w:tc>
          <w:tcPr/>
          <w:p>
            <w:pPr>
              <w:pStyle w:val="Compact"/>
            </w:pPr>
            <w:r>
              <w:rPr>
                <w:b/>
                <w:bCs/>
              </w:rPr>
              <w:t xml:space="preserve">Capital returns</w:t>
            </w:r>
          </w:p>
        </w:tc>
        <w:tc>
          <w:tcPr/>
          <w:p>
            <w:pPr>
              <w:pStyle w:val="Compact"/>
            </w:pPr>
            <w:r>
              <w:t xml:space="preserve">Net debt below target = room to return more</w:t>
            </w:r>
          </w:p>
        </w:tc>
        <w:tc>
          <w:tcPr/>
          <w:p>
            <w:pPr>
              <w:pStyle w:val="Compact"/>
            </w:pPr>
            <w:r>
              <w:t xml:space="preserve">Buyback/dividend bump would be well-received</w:t>
            </w:r>
          </w:p>
        </w:tc>
      </w:tr>
      <w:tr>
        <w:tc>
          <w:tcPr/>
          <w:p>
            <w:pPr>
              <w:pStyle w:val="Compact"/>
            </w:pPr>
            <w:r>
              <w:rPr>
                <w:b/>
                <w:bCs/>
              </w:rPr>
              <w:t xml:space="preserve">Insurance cash + FCF</w:t>
            </w:r>
          </w:p>
        </w:tc>
        <w:tc>
          <w:tcPr/>
          <w:p>
            <w:pPr>
              <w:pStyle w:val="Compact"/>
            </w:pPr>
            <w:r>
              <w:t xml:space="preserve">$0.7B settlement due in Q2</w:t>
            </w:r>
          </w:p>
        </w:tc>
        <w:tc>
          <w:tcPr/>
          <w:p>
            <w:pPr>
              <w:pStyle w:val="Compact"/>
            </w:pPr>
            <w:r>
              <w:t xml:space="preserve">Supports strong Q2 cash flow</w:t>
            </w:r>
          </w:p>
        </w:tc>
      </w:tr>
    </w:tbl>
    <w:p>
      <w:pPr>
        <w:pStyle w:val="BodyText"/>
      </w:pPr>
      <w:r>
        <w:rPr>
          <w:b/>
          <w:bCs/>
        </w:rPr>
        <w:t xml:space="preserve">Net:</w:t>
      </w:r>
      <w:r>
        <w:t xml:space="preserve"> </w:t>
      </w:r>
      <w:r>
        <w:t xml:space="preserve">The quarter itself should look solid on price strength (EPS ~$0.62 expected), but the report will trade on</w:t>
      </w:r>
      <w:r>
        <w:t xml:space="preserve"> </w:t>
      </w:r>
      <w:r>
        <w:rPr>
          <w:b/>
          <w:bCs/>
        </w:rPr>
        <w:t xml:space="preserve">guidance, not the print</w:t>
      </w:r>
      <w:r>
        <w:t xml:space="preserve"> </w:t>
      </w:r>
      <w:r>
        <w:t xml:space="preserve">— specifically the Grasberg ramp path and cost outlook. With the stock near 52-week highs and a rich multiple, the bar is high; the market will reward confirmation that Indonesia is stabilizing and that FCX's U.S. franchise is capturing the tariff-inflated COMEX premium, while punishing any hint of further ramp delays or cost creep.</w:t>
      </w:r>
    </w:p>
    <w:p>
      <w:r>
        <w:pict>
          <v:rect style="width:0;height:1.5pt" o:hralign="center" o:hrstd="t" o:hr="t"/>
        </w:pict>
      </w:r>
    </w:p>
    <w:p>
      <w:pPr>
        <w:pStyle w:val="FirstParagraph"/>
      </w:pPr>
      <w:r>
        <w:rPr>
          <w:i/>
          <w:iCs/>
        </w:rPr>
        <w:t xml:space="preserve">Preview based on FCX's Q1 2026 earnings release (April 23, 2026), current market data, and consensus estimates. Figures for realized prices, guidance, and operations are drawn from company disclosures; copper spot prices and tariff details from public sources as of July 22, 2026.</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2026-07-23T00:51:21Z</dcterms:created>
  <dcterms:modified xsi:type="dcterms:W3CDTF">2026-07-23T00:51:21Z</dcterms:modified>
</cp:coreProperties>
</file>

<file path=docProps/custom.xml><?xml version="1.0" encoding="utf-8"?>
<Properties xmlns="http://schemas.openxmlformats.org/officeDocument/2006/custom-properties" xmlns:vt="http://schemas.openxmlformats.org/officeDocument/2006/docPropsVTypes"/>
</file>