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cx-earnings-predictions--2026-07-23"/>
    <w:p>
      <w:pPr>
        <w:pStyle w:val="Heading1"/>
      </w:pPr>
      <w:r>
        <w:t xml:space="preserve">FCX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~$0.65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~$6.65B vs. cons $6.6B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Consolidated Copper Sales (lbs)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~665M lbs vs. cons/guide 690M lbs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Copper 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~3.00B lbs vs. cons 3.1B lbs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Unit Net Cash Cost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~$2.02/lb vs. cons $1.95/lb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Grasberg 2H26 Capacity Ramp-Up (% of capacity)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~65% vs. cons 65%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(FADE)</w:t>
            </w:r>
          </w:p>
        </w:tc>
        <w:tc>
          <w:tcPr/>
          <w:p>
            <w:pPr>
              <w:pStyle w:val="Compact"/>
            </w:pPr>
            <w:r>
              <w:t xml:space="preserve">Even if headline EPS/revenue print roughly in line to a modest beat on higher realized copper prices, the volume miss on Grasberg (wet-drawpoint/chute bottleneck not yet resolved) and a further trim to FY26 copper-sales/cost guidance imply sell-side models must cut out-year (2026-2027) EBITDA and FCF estimates even after the print. Given the stock rallied ~10%+ into the quarter and has a history of a double-digit post-earnings drawdown last quarter on similar Grasberg news, initial negative reaction should be reinforced over the following days as analysts publish revised numbers reflecting the slower ramp, producing follow-through selling (fade) rather than a snap-back, unless management delivers unambiguously better drawpoint/chute-fix data than modeled.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2026-07-23T00:58:19Z</dcterms:created>
  <dcterms:modified xsi:type="dcterms:W3CDTF">2026-07-23T00:58:19Z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