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f5374918361b97c8dca7dc8d3380f1ec6760fe9"/>
    <w:p>
      <w:pPr>
        <w:pStyle w:val="Heading1"/>
      </w:pPr>
      <w:r>
        <w:t xml:space="preserve">FCX 2Q26 Earnings Preview: Grasberg Execution Matters More Than the EPS Print</w:t>
      </w:r>
    </w:p>
    <w:p>
      <w:pPr>
        <w:pStyle w:val="BlockText"/>
      </w:pPr>
      <w:r>
        <w:rPr>
          <w:b/>
          <w:bCs/>
        </w:rPr>
        <w:t xml:space="preserve">Timing note:</w:t>
      </w:r>
      <w:r>
        <w:t xml:space="preserve"> </w:t>
      </w:r>
      <w:r>
        <w:t xml:space="preserve">The current date is</w:t>
      </w:r>
      <w:r>
        <w:t xml:space="preserve"> </w:t>
      </w:r>
      <w:r>
        <w:rPr>
          <w:b/>
          <w:bCs/>
        </w:rPr>
        <w:t xml:space="preserve">Thursday, July 23, 2026</w:t>
      </w:r>
      <w:r>
        <w:t xml:space="preserve">, and FCX’s official calendar schedules the second-quarter conference call for</w:t>
      </w:r>
      <w:r>
        <w:t xml:space="preserve"> </w:t>
      </w:r>
      <w:r>
        <w:rPr>
          <w:b/>
          <w:bCs/>
        </w:rPr>
        <w:t xml:space="preserve">today at 10:00 a.m. ET</w:t>
      </w:r>
      <w:r>
        <w:t xml:space="preserve">—not tomorrow. This preview is written on a pre-release basis. (</w:t>
      </w:r>
      <w:hyperlink r:id="rId9">
        <w:r>
          <w:rPr>
            <w:rStyle w:val="Hyperlink"/>
          </w:rPr>
          <w:t xml:space="preserve">fcx.com</w:t>
        </w:r>
      </w:hyperlink>
      <w:r>
        <w:t xml:space="preserve">)</w:t>
      </w:r>
    </w:p>
    <w:bookmarkStart w:id="10" w:name="investment-view-going-into-the-report"/>
    <w:p>
      <w:pPr>
        <w:pStyle w:val="Heading2"/>
      </w:pPr>
      <w:r>
        <w:t xml:space="preserve">Investment view going into the report</w:t>
      </w:r>
    </w:p>
    <w:p>
      <w:pPr>
        <w:pStyle w:val="FirstParagraph"/>
      </w:pPr>
      <w:r>
        <w:t xml:space="preserve">FCX should report a quarter supported by exceptionally strong copper pricing, but the stock’s reaction will probably depend less on whether adjusted EPS is a few cents above or below consensus and more on one question:</w:t>
      </w:r>
    </w:p>
    <w:p>
      <w:pPr>
        <w:pStyle w:val="BodyText"/>
      </w:pPr>
      <w:r>
        <w:rPr>
          <w:b/>
          <w:bCs/>
        </w:rPr>
        <w:t xml:space="preserve">Is the Grasberg Block Cave recovery proceeding according to the revised April plan, or is another production reset coming?</w:t>
      </w:r>
    </w:p>
    <w:p>
      <w:pPr>
        <w:pStyle w:val="BodyText"/>
      </w:pPr>
      <w:r>
        <w:t xml:space="preserve">The April report reduced 2026 copper and gold guidance after FCX encountered wetter-than-expected ore and material-handling constraints during the Grasberg restart. That disclosure drove a roughly</w:t>
      </w:r>
      <w:r>
        <w:t xml:space="preserve"> </w:t>
      </w:r>
      <w:r>
        <w:rPr>
          <w:b/>
          <w:bCs/>
        </w:rPr>
        <w:t xml:space="preserve">13% one-day decline</w:t>
      </w:r>
      <w:r>
        <w:t xml:space="preserve"> </w:t>
      </w:r>
      <w:r>
        <w:t xml:space="preserve">in FCX shares. The stock has subsequently recovered part of that loss, leaving investors positioned for evidence that the revised plan is now credible.</w:t>
      </w:r>
    </w:p>
    <w:p>
      <w:pPr>
        <w:pStyle w:val="BodyText"/>
      </w:pPr>
      <w:r>
        <w:t xml:space="preserve">A clean Grasberg update, reaffirmed 2026 guidance and stable cost assumptions would likely outweigh modest headline estimate variance. Conversely, another delay would call into question the steep production recovery embedded in the second-half outlook.</w:t>
      </w:r>
    </w:p>
    <w:p>
      <w:r>
        <w:pict>
          <v:rect style="width:0;height:1.5pt" o:hralign="center" o:hrstd="t" o:hr="t"/>
        </w:pict>
      </w:r>
    </w:p>
    <w:bookmarkEnd w:id="10"/>
    <w:bookmarkStart w:id="14" w:name="numbers-to-frame-the-quarter"/>
    <w:p>
      <w:pPr>
        <w:pStyle w:val="Heading2"/>
      </w:pPr>
      <w:r>
        <w:t xml:space="preserve">Numbers to frame the quarter</w:t>
      </w:r>
    </w:p>
    <w:p>
      <w:pPr>
        <w:pStyle w:val="FirstParagraph"/>
      </w:pPr>
      <w:r>
        <w:t xml:space="preserve">Analyst estimates vary by data provider, but the current range is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Street expectation / company guide</w:t>
            </w:r>
          </w:p>
        </w:tc>
      </w:tr>
      <w:tr>
        <w:tc>
          <w:tcPr/>
          <w:p>
            <w:pPr>
              <w:pStyle w:val="Compact"/>
            </w:pPr>
            <w:r>
              <w:t xml:space="preserve">Adjusted EPS</w:t>
            </w:r>
          </w:p>
        </w:tc>
        <w:tc>
          <w:tcPr/>
          <w:p>
            <w:pPr>
              <w:pStyle w:val="Compact"/>
              <w:jc w:val="right"/>
            </w:pPr>
            <m:oMath>
              <m:r>
                <m:t>0.59</m:t>
              </m:r>
              <m:r>
                <m:rPr>
                  <m:sty m:val="p"/>
                </m:rPr>
                <m:t>–</m:t>
              </m:r>
            </m:oMath>
            <w:r>
              <w:rPr>
                <w:b/>
                <w:bCs/>
              </w:rPr>
              <w:t xml:space="preserve">0.62</w:t>
            </w:r>
          </w:p>
        </w:tc>
      </w:tr>
      <w:tr>
        <w:tc>
          <w:tcPr/>
          <w:p>
            <w:pPr>
              <w:pStyle w:val="Compact"/>
            </w:pPr>
            <w:r>
              <w:t xml:space="preserve">Revenue</w:t>
            </w:r>
          </w:p>
        </w:tc>
        <w:tc>
          <w:tcPr/>
          <w:p>
            <w:pPr>
              <w:pStyle w:val="Compact"/>
              <w:jc w:val="right"/>
            </w:pPr>
            <m:oMath>
              <m:r>
                <m:t>6.4</m:t>
              </m:r>
              <m:r>
                <m:t>B</m:t>
              </m:r>
              <m:r>
                <m:rPr>
                  <m:sty m:val="p"/>
                </m:rPr>
                <m:t>–</m:t>
              </m:r>
            </m:oMath>
            <w:r>
              <w:rPr>
                <w:b/>
                <w:bCs/>
              </w:rPr>
              <w:t xml:space="preserve">6.8B</w:t>
            </w:r>
          </w:p>
        </w:tc>
      </w:tr>
      <w:tr>
        <w:tc>
          <w:tcPr/>
          <w:p>
            <w:pPr>
              <w:pStyle w:val="Compact"/>
            </w:pPr>
            <w:r>
              <w:t xml:space="preserve">Company copper-sales estimate</w:t>
            </w:r>
          </w:p>
        </w:tc>
        <w:tc>
          <w:tcPr/>
          <w:p>
            <w:pPr>
              <w:pStyle w:val="Compact"/>
              <w:jc w:val="right"/>
            </w:pPr>
            <w:r>
              <w:rPr>
                <w:b/>
                <w:bCs/>
              </w:rPr>
              <w:t xml:space="preserve">690 million lb</w:t>
            </w:r>
          </w:p>
        </w:tc>
      </w:tr>
      <w:tr>
        <w:tc>
          <w:tcPr/>
          <w:p>
            <w:pPr>
              <w:pStyle w:val="Compact"/>
            </w:pPr>
            <w:r>
              <w:t xml:space="preserve">Company gold-sales estimate</w:t>
            </w:r>
          </w:p>
        </w:tc>
        <w:tc>
          <w:tcPr/>
          <w:p>
            <w:pPr>
              <w:pStyle w:val="Compact"/>
              <w:jc w:val="right"/>
            </w:pPr>
            <w:r>
              <w:rPr>
                <w:b/>
                <w:bCs/>
              </w:rPr>
              <w:t xml:space="preserve">140,000 oz</w:t>
            </w:r>
          </w:p>
        </w:tc>
      </w:tr>
      <w:tr>
        <w:tc>
          <w:tcPr/>
          <w:p>
            <w:pPr>
              <w:pStyle w:val="Compact"/>
            </w:pPr>
            <w:r>
              <w:t xml:space="preserve">Company molybdenum-sales estimate</w:t>
            </w:r>
          </w:p>
        </w:tc>
        <w:tc>
          <w:tcPr/>
          <w:p>
            <w:pPr>
              <w:pStyle w:val="Compact"/>
              <w:jc w:val="right"/>
            </w:pPr>
            <w:r>
              <w:rPr>
                <w:b/>
                <w:bCs/>
              </w:rPr>
              <w:t xml:space="preserve">22 million lb</w:t>
            </w:r>
          </w:p>
        </w:tc>
      </w:tr>
      <w:tr>
        <w:tc>
          <w:tcPr/>
          <w:p>
            <w:pPr>
              <w:pStyle w:val="Compact"/>
            </w:pPr>
            <w:r>
              <w:t xml:space="preserve">Company unit net cash-cost estimate</w:t>
            </w:r>
          </w:p>
        </w:tc>
        <w:tc>
          <w:tcPr/>
          <w:p>
            <w:pPr>
              <w:pStyle w:val="Compact"/>
              <w:jc w:val="right"/>
            </w:pPr>
            <w:r>
              <w:rPr>
                <w:b/>
                <w:bCs/>
              </w:rPr>
              <w:t xml:space="preserve">$2.24/lb of copper</w:t>
            </w:r>
          </w:p>
        </w:tc>
      </w:tr>
    </w:tbl>
    <w:p>
      <w:pPr>
        <w:pStyle w:val="BodyText"/>
      </w:pPr>
      <w:r>
        <w:t xml:space="preserve">Consensus sources cluster around $0.60 of EPS, although revenue estimates show a relatively wide spread—likely reflecting uncertainty around shipment timing, provisional pricing and Indonesian inventory. (</w:t>
      </w:r>
      <w:hyperlink r:id="rId11">
        <w:r>
          <w:rPr>
            <w:rStyle w:val="Hyperlink"/>
          </w:rPr>
          <w:t xml:space="preserve">tipranks.com</w:t>
        </w:r>
      </w:hyperlink>
      <w:r>
        <w:t xml:space="preserve">)</w:t>
      </w:r>
    </w:p>
    <w:p>
      <w:pPr>
        <w:pStyle w:val="BodyText"/>
      </w:pPr>
      <w:r>
        <w:t xml:space="preserve">FCX’s second-quarter volume guidance implies approximately</w:t>
      </w:r>
      <w:r>
        <w:t xml:space="preserve"> </w:t>
      </w:r>
      <w:r>
        <w:rPr>
          <w:b/>
          <w:bCs/>
        </w:rPr>
        <w:t xml:space="preserve">5% sequential growth in copper sales</w:t>
      </w:r>
      <w:r>
        <w:t xml:space="preserve"> </w:t>
      </w:r>
      <w:r>
        <w:t xml:space="preserve">and</w:t>
      </w:r>
      <w:r>
        <w:t xml:space="preserve"> </w:t>
      </w:r>
      <w:r>
        <w:rPr>
          <w:b/>
          <w:bCs/>
        </w:rPr>
        <w:t xml:space="preserve">16% growth in gold sales</w:t>
      </w:r>
      <w:r>
        <w:t xml:space="preserve">, but also a roughly</w:t>
      </w:r>
      <w:r>
        <w:t xml:space="preserve"> </w:t>
      </w:r>
      <w:r>
        <w:rPr>
          <w:b/>
          <w:bCs/>
        </w:rPr>
        <w:t xml:space="preserve">17% increase in unit net cash costs</w:t>
      </w:r>
      <w:r>
        <w:t xml:space="preserve"> </w:t>
      </w:r>
      <w:r>
        <w:t xml:space="preserve">from the first quarter. The higher cost guidance primarily reflects the production mix, reduced Grasberg contribution and elevated energy and consumable costs. FCX entered the quarter expecting 690 million pounds of copper sales, 140,000 ounces of gold sales and unit net cash costs of $2.24 per pound. (</w:t>
      </w:r>
      <w:hyperlink r:id="rId12">
        <w:r>
          <w:rPr>
            <w:rStyle w:val="Hyperlink"/>
          </w:rPr>
          <w:t xml:space="preserve">sec.gov</w:t>
        </w:r>
      </w:hyperlink>
      <w:r>
        <w:t xml:space="preserve">)</w:t>
      </w:r>
    </w:p>
    <w:p>
      <w:pPr>
        <w:pStyle w:val="BodyText"/>
      </w:pPr>
      <w:r>
        <w:t xml:space="preserve">Year-over-year comparisons will look unusual:</w:t>
      </w:r>
    </w:p>
    <w:p>
      <w:pPr>
        <w:pStyle w:val="Compact"/>
        <w:numPr>
          <w:ilvl w:val="0"/>
          <w:numId w:val="1001"/>
        </w:numPr>
      </w:pPr>
      <w:r>
        <w:t xml:space="preserve">In 2Q25, FCX sold</w:t>
      </w:r>
      <w:r>
        <w:t xml:space="preserve"> </w:t>
      </w:r>
      <w:r>
        <w:rPr>
          <w:b/>
          <w:bCs/>
        </w:rPr>
        <w:t xml:space="preserve">1.016 billion pounds of copper</w:t>
      </w:r>
      <w:r>
        <w:t xml:space="preserve"> </w:t>
      </w:r>
      <w:r>
        <w:t xml:space="preserve">and</w:t>
      </w:r>
      <w:r>
        <w:t xml:space="preserve"> </w:t>
      </w:r>
      <w:r>
        <w:rPr>
          <w:b/>
          <w:bCs/>
        </w:rPr>
        <w:t xml:space="preserve">522,000 ounces of gold</w:t>
      </w:r>
      <w:r>
        <w:t xml:space="preserve">.</w:t>
      </w:r>
    </w:p>
    <w:p>
      <w:pPr>
        <w:pStyle w:val="Compact"/>
        <w:numPr>
          <w:ilvl w:val="0"/>
          <w:numId w:val="1001"/>
        </w:numPr>
      </w:pPr>
      <w:r>
        <w:t xml:space="preserve">Adjusted EPS was</w:t>
      </w:r>
      <w:r>
        <w:t xml:space="preserve"> </w:t>
      </w:r>
      <m:oMath>
        <m:r>
          <m:t>0.54</m:t>
        </m:r>
        <m:r>
          <m:rPr>
            <m:sty m:val="p"/>
          </m:rPr>
          <m:t>*</m:t>
        </m:r>
        <m:r>
          <m:rPr>
            <m:sty m:val="p"/>
          </m:rPr>
          <m:t>*</m:t>
        </m:r>
        <m:r>
          <m:t>o</m:t>
        </m:r>
        <m:r>
          <m:t>n</m:t>
        </m:r>
        <m:r>
          <m:t>r</m:t>
        </m:r>
        <m:r>
          <m:t>e</m:t>
        </m:r>
        <m:r>
          <m:t>v</m:t>
        </m:r>
        <m:r>
          <m:t>e</m:t>
        </m:r>
        <m:r>
          <m:t>n</m:t>
        </m:r>
        <m:r>
          <m:t>u</m:t>
        </m:r>
        <m:r>
          <m:t>e</m:t>
        </m:r>
        <m:r>
          <m:t>o</m:t>
        </m:r>
        <m:r>
          <m:t>f</m:t>
        </m:r>
        <m:r>
          <m:rPr>
            <m:sty m:val="p"/>
          </m:rPr>
          <m:t>*</m:t>
        </m:r>
        <m:r>
          <m:rPr>
            <m:sty m:val="p"/>
          </m:rPr>
          <m:t>*</m:t>
        </m:r>
      </m:oMath>
      <w:r>
        <w:rPr>
          <w:b/>
          <w:bCs/>
        </w:rPr>
        <w:t xml:space="preserve">7.58 billion</w:t>
      </w:r>
      <w:r>
        <w:t xml:space="preserve">.</w:t>
      </w:r>
    </w:p>
    <w:p>
      <w:pPr>
        <w:pStyle w:val="Compact"/>
        <w:numPr>
          <w:ilvl w:val="0"/>
          <w:numId w:val="1001"/>
        </w:numPr>
      </w:pPr>
      <w:r>
        <w:t xml:space="preserve">The large volume decline since then reflects the September 2025 Grasberg mud-rush incident and subsequent production suspension—not weakness in copper prices.</w:t>
      </w:r>
    </w:p>
    <w:p>
      <w:pPr>
        <w:pStyle w:val="FirstParagraph"/>
      </w:pPr>
      <w:r>
        <w:t xml:space="preserve">Copper pricing should be a major offset. LME spot copper averaged approximately</w:t>
      </w:r>
      <w:r>
        <w:t xml:space="preserve"> </w:t>
      </w:r>
      <w:r>
        <w:rPr>
          <w:b/>
          <w:bCs/>
        </w:rPr>
        <w:t xml:space="preserve">$6.05/lb in 2Q26</w:t>
      </w:r>
      <w:r>
        <w:t xml:space="preserve">, up about 4% from the first-quarter average and roughly 40% year over year. (</w:t>
      </w:r>
      <w:hyperlink r:id="rId13">
        <w:r>
          <w:rPr>
            <w:rStyle w:val="Hyperlink"/>
          </w:rPr>
          <w:t xml:space="preserve">tradingview.com</w:t>
        </w:r>
      </w:hyperlink>
      <w:r>
        <w:t xml:space="preserve">)</w:t>
      </w:r>
    </w:p>
    <w:p>
      <w:r>
        <w:pict>
          <v:rect style="width:0;height:1.5pt" o:hralign="center" o:hrstd="t" o:hr="t"/>
        </w:pict>
      </w:r>
    </w:p>
    <w:bookmarkEnd w:id="14"/>
    <w:bookmarkStart w:id="18" w:name="X5fb7743283d559646713dde5aa6ecb9eeeb3468"/>
    <w:p>
      <w:pPr>
        <w:pStyle w:val="Heading2"/>
      </w:pPr>
      <w:r>
        <w:t xml:space="preserve">1. Grasberg: the central issue</w:t>
      </w:r>
    </w:p>
    <w:bookmarkStart w:id="15" w:name="what-fcx-said-in-april"/>
    <w:p>
      <w:pPr>
        <w:pStyle w:val="Heading3"/>
      </w:pPr>
      <w:r>
        <w:t xml:space="preserve">What FCX said in April</w:t>
      </w:r>
    </w:p>
    <w:p>
      <w:pPr>
        <w:pStyle w:val="FirstParagraph"/>
      </w:pPr>
      <w:r>
        <w:t xml:space="preserve">FCX restarted Grasberg Block Cave Production Blocks 2 and 3 in late March, but inspections found a larger proportion of wet drawpoints following the mine’s period of inactivity. The extraction equipment can handle wet ore; the bottleneck is the chute system that loads ore onto automated trains.</w:t>
      </w:r>
    </w:p>
    <w:p>
      <w:pPr>
        <w:pStyle w:val="BodyText"/>
      </w:pPr>
      <w:r>
        <w:t xml:space="preserve">FCX is installing specialized flow-control equipment and, in April, forecast that:</w:t>
      </w:r>
    </w:p>
    <w:p>
      <w:pPr>
        <w:pStyle w:val="Compact"/>
        <w:numPr>
          <w:ilvl w:val="0"/>
          <w:numId w:val="1002"/>
        </w:numPr>
      </w:pPr>
      <w:r>
        <w:t xml:space="preserve">Production Blocks 2 and 3 would operate at roughly</w:t>
      </w:r>
      <w:r>
        <w:t xml:space="preserve"> </w:t>
      </w:r>
      <w:r>
        <w:rPr>
          <w:b/>
          <w:bCs/>
        </w:rPr>
        <w:t xml:space="preserve">60% of capacity</w:t>
      </w:r>
      <w:r>
        <w:t xml:space="preserve"> </w:t>
      </w:r>
      <w:r>
        <w:t xml:space="preserve">until the modifications are installed.</w:t>
      </w:r>
    </w:p>
    <w:p>
      <w:pPr>
        <w:pStyle w:val="Compact"/>
        <w:numPr>
          <w:ilvl w:val="0"/>
          <w:numId w:val="1002"/>
        </w:numPr>
      </w:pPr>
      <w:r>
        <w:t xml:space="preserve">Overall Grasberg production would run at approximately</w:t>
      </w:r>
      <w:r>
        <w:t xml:space="preserve"> </w:t>
      </w:r>
      <w:r>
        <w:rPr>
          <w:b/>
          <w:bCs/>
        </w:rPr>
        <w:t xml:space="preserve">65% of capacity in the second half of 2026</w:t>
      </w:r>
      <w:r>
        <w:t xml:space="preserve">.</w:t>
      </w:r>
    </w:p>
    <w:p>
      <w:pPr>
        <w:pStyle w:val="Compact"/>
        <w:numPr>
          <w:ilvl w:val="0"/>
          <w:numId w:val="1002"/>
        </w:numPr>
      </w:pPr>
      <w:r>
        <w:t xml:space="preserve">Production would rise to about</w:t>
      </w:r>
      <w:r>
        <w:t xml:space="preserve"> </w:t>
      </w:r>
      <w:r>
        <w:rPr>
          <w:b/>
          <w:bCs/>
        </w:rPr>
        <w:t xml:space="preserve">80% by mid-2027</w:t>
      </w:r>
      <w:r>
        <w:t xml:space="preserve"> </w:t>
      </w:r>
      <w:r>
        <w:t xml:space="preserve">and approach full capacity by the end of 2027.</w:t>
      </w:r>
    </w:p>
    <w:p>
      <w:pPr>
        <w:pStyle w:val="Compact"/>
        <w:numPr>
          <w:ilvl w:val="0"/>
          <w:numId w:val="1002"/>
        </w:numPr>
      </w:pPr>
      <w:r>
        <w:t xml:space="preserve">Most of the current bottlenecks would be addressed by mid-2027.</w:t>
      </w:r>
    </w:p>
    <w:p>
      <w:pPr>
        <w:pStyle w:val="Compact"/>
        <w:numPr>
          <w:ilvl w:val="0"/>
          <w:numId w:val="1002"/>
        </w:numPr>
      </w:pPr>
      <w:r>
        <w:t xml:space="preserve">The fix would require only about</w:t>
      </w:r>
      <w:r>
        <w:t xml:space="preserve"> </w:t>
      </w:r>
      <m:oMath>
        <m:r>
          <m:t>60</m:t>
        </m:r>
        <m:r>
          <m:t>m</m:t>
        </m:r>
        <m:r>
          <m:t>i</m:t>
        </m:r>
        <m:r>
          <m:t>l</m:t>
        </m:r>
        <m:r>
          <m:t>l</m:t>
        </m:r>
        <m:r>
          <m:t>i</m:t>
        </m:r>
        <m:r>
          <m:t>o</m:t>
        </m:r>
        <m:r>
          <m:t>n</m:t>
        </m:r>
        <m:r>
          <m:rPr>
            <m:sty m:val="p"/>
          </m:rPr>
          <m:t>–</m:t>
        </m:r>
      </m:oMath>
      <w:r>
        <w:rPr>
          <w:b/>
          <w:bCs/>
        </w:rPr>
        <w:t xml:space="preserve">70 million of incremental capital</w:t>
      </w:r>
      <w:r>
        <w:t xml:space="preserve">.</w:t>
      </w:r>
    </w:p>
    <w:p>
      <w:pPr>
        <w:pStyle w:val="FirstParagraph"/>
      </w:pPr>
      <w:r>
        <w:t xml:space="preserve">Management characterized this as a timing and material-handling issue rather than a problem with the resource or ultimate metal recovery. (</w:t>
      </w:r>
      <w:hyperlink r:id="rId12">
        <w:r>
          <w:rPr>
            <w:rStyle w:val="Hyperlink"/>
          </w:rPr>
          <w:t xml:space="preserve">sec.gov</w:t>
        </w:r>
      </w:hyperlink>
      <w:r>
        <w:t xml:space="preserve">)</w:t>
      </w:r>
    </w:p>
    <w:bookmarkEnd w:id="15"/>
    <w:bookmarkStart w:id="16" w:name="what-investors-should-look-for"/>
    <w:p>
      <w:pPr>
        <w:pStyle w:val="Heading3"/>
      </w:pPr>
      <w:r>
        <w:t xml:space="preserve">What investors should look for</w:t>
      </w:r>
    </w:p>
    <w:p>
      <w:pPr>
        <w:pStyle w:val="FirstParagraph"/>
      </w:pPr>
      <w:r>
        <w:t xml:space="preserve">The most important disclosures will be:</w:t>
      </w:r>
    </w:p>
    <w:p>
      <w:pPr>
        <w:pStyle w:val="Compact"/>
        <w:numPr>
          <w:ilvl w:val="0"/>
          <w:numId w:val="1003"/>
        </w:numPr>
      </w:pPr>
      <w:r>
        <w:rPr>
          <w:b/>
          <w:bCs/>
        </w:rPr>
        <w:t xml:space="preserve">Current Grasberg Block Cave mining rate.</w:t>
      </w:r>
    </w:p>
    <w:p>
      <w:pPr>
        <w:pStyle w:val="Compact"/>
        <w:numPr>
          <w:ilvl w:val="0"/>
          <w:numId w:val="1003"/>
        </w:numPr>
      </w:pPr>
      <w:r>
        <w:rPr>
          <w:b/>
          <w:bCs/>
        </w:rPr>
        <w:t xml:space="preserve">Wet-to-dry drawpoint trends</w:t>
      </w:r>
      <w:r>
        <w:t xml:space="preserve"> </w:t>
      </w:r>
      <w:r>
        <w:t xml:space="preserve">since April.</w:t>
      </w:r>
    </w:p>
    <w:p>
      <w:pPr>
        <w:pStyle w:val="Compact"/>
        <w:numPr>
          <w:ilvl w:val="0"/>
          <w:numId w:val="1003"/>
        </w:numPr>
      </w:pPr>
      <w:r>
        <w:t xml:space="preserve">Number of modified chutes installed and their operating performance.</w:t>
      </w:r>
    </w:p>
    <w:p>
      <w:pPr>
        <w:pStyle w:val="Compact"/>
        <w:numPr>
          <w:ilvl w:val="0"/>
          <w:numId w:val="1003"/>
        </w:numPr>
      </w:pPr>
      <w:r>
        <w:t xml:space="preserve">Whether equipment fabrication and delivery remain on schedule.</w:t>
      </w:r>
    </w:p>
    <w:p>
      <w:pPr>
        <w:pStyle w:val="Compact"/>
        <w:numPr>
          <w:ilvl w:val="0"/>
          <w:numId w:val="1003"/>
        </w:numPr>
      </w:pPr>
      <w:r>
        <w:t xml:space="preserve">Expected second-half ore throughput and copper/gold production.</w:t>
      </w:r>
    </w:p>
    <w:p>
      <w:pPr>
        <w:pStyle w:val="Compact"/>
        <w:numPr>
          <w:ilvl w:val="0"/>
          <w:numId w:val="1003"/>
        </w:numPr>
      </w:pPr>
      <w:r>
        <w:t xml:space="preserve">Whether the new Indonesian smelter can restart in the second half as planned.</w:t>
      </w:r>
    </w:p>
    <w:p>
      <w:pPr>
        <w:pStyle w:val="Compact"/>
        <w:numPr>
          <w:ilvl w:val="0"/>
          <w:numId w:val="1003"/>
        </w:numPr>
      </w:pPr>
      <w:r>
        <w:t xml:space="preserve">Any additional inventory buildup or delay between production and recognized sales.</w:t>
      </w:r>
    </w:p>
    <w:p>
      <w:pPr>
        <w:pStyle w:val="FirstParagraph"/>
      </w:pPr>
      <w:r>
        <w:t xml:space="preserve">A quarter in line with the 690-million-pound sales guide is helpful, but it is not sufficient on its own. Shipment timing can obscure mine performance. Investors need operating evidence that Grasberg can deliver the second-half ramp.</w:t>
      </w:r>
    </w:p>
    <w:bookmarkEnd w:id="16"/>
    <w:bookmarkStart w:id="17" w:name="the-key-threshold"/>
    <w:p>
      <w:pPr>
        <w:pStyle w:val="Heading3"/>
      </w:pPr>
      <w:r>
        <w:t xml:space="preserve">The key threshold</w:t>
      </w:r>
    </w:p>
    <w:p>
      <w:pPr>
        <w:pStyle w:val="FirstParagraph"/>
      </w:pPr>
      <w:r>
        <w:t xml:space="preserve">The market will probably accept normal variability around quarterly sales. It will be far less forgiving of any reduction to FCX’s revised full-year outlook of:</w:t>
      </w:r>
    </w:p>
    <w:p>
      <w:pPr>
        <w:pStyle w:val="Compact"/>
        <w:numPr>
          <w:ilvl w:val="0"/>
          <w:numId w:val="1004"/>
        </w:numPr>
      </w:pPr>
      <w:r>
        <w:rPr>
          <w:b/>
          <w:bCs/>
        </w:rPr>
        <w:t xml:space="preserve">3.1 billion pounds of copper sales</w:t>
      </w:r>
    </w:p>
    <w:p>
      <w:pPr>
        <w:pStyle w:val="Compact"/>
        <w:numPr>
          <w:ilvl w:val="0"/>
          <w:numId w:val="1004"/>
        </w:numPr>
      </w:pPr>
      <w:r>
        <w:rPr>
          <w:b/>
          <w:bCs/>
        </w:rPr>
        <w:t xml:space="preserve">650,000 ounces of gold sales</w:t>
      </w:r>
    </w:p>
    <w:p>
      <w:pPr>
        <w:pStyle w:val="Compact"/>
        <w:numPr>
          <w:ilvl w:val="0"/>
          <w:numId w:val="1004"/>
        </w:numPr>
      </w:pPr>
      <w:r>
        <w:rPr>
          <w:b/>
          <w:bCs/>
        </w:rPr>
        <w:t xml:space="preserve">$1.95/lb consolidated unit net cash costs</w:t>
      </w:r>
    </w:p>
    <w:p>
      <w:pPr>
        <w:pStyle w:val="FirstParagraph"/>
      </w:pPr>
      <w:r>
        <w:t xml:space="preserve">Those figures already incorporate a substantial reduction from January guidance, when FCX expected 3.4 billion pounds of copper and 800,000 ounces of gold.</w:t>
      </w:r>
    </w:p>
    <w:p>
      <w:r>
        <w:pict>
          <v:rect style="width:0;height:1.5pt" o:hralign="center" o:hrstd="t" o:hr="t"/>
        </w:pict>
      </w:r>
    </w:p>
    <w:bookmarkEnd w:id="17"/>
    <w:bookmarkEnd w:id="18"/>
    <w:bookmarkStart w:id="21" w:name="Xd3e7c3b4ccf34ebb99ae52018024d6db6a15b13"/>
    <w:p>
      <w:pPr>
        <w:pStyle w:val="Heading2"/>
      </w:pPr>
      <w:r>
        <w:t xml:space="preserve">2. High copper prices versus a weaker production mix</w:t>
      </w:r>
    </w:p>
    <w:p>
      <w:pPr>
        <w:pStyle w:val="FirstParagraph"/>
      </w:pPr>
      <w:r>
        <w:t xml:space="preserve">This should be a strong pricing quarter but not necessarily a clean margin quarter.</w:t>
      </w:r>
    </w:p>
    <w:bookmarkStart w:id="19" w:name="positives"/>
    <w:p>
      <w:pPr>
        <w:pStyle w:val="Heading3"/>
      </w:pPr>
      <w:r>
        <w:t xml:space="preserve">Positives</w:t>
      </w:r>
    </w:p>
    <w:p>
      <w:pPr>
        <w:pStyle w:val="Compact"/>
        <w:numPr>
          <w:ilvl w:val="0"/>
          <w:numId w:val="1005"/>
        </w:numPr>
      </w:pPr>
      <w:r>
        <w:t xml:space="preserve">Q2 benchmark copper prices were above Q1 levels.</w:t>
      </w:r>
    </w:p>
    <w:p>
      <w:pPr>
        <w:pStyle w:val="Compact"/>
        <w:numPr>
          <w:ilvl w:val="0"/>
          <w:numId w:val="1005"/>
        </w:numPr>
      </w:pPr>
      <w:r>
        <w:t xml:space="preserve">FCX should continue benefiting from strong U.S. demand associated with power infrastructure and data-center construction.</w:t>
      </w:r>
    </w:p>
    <w:p>
      <w:pPr>
        <w:pStyle w:val="Compact"/>
        <w:numPr>
          <w:ilvl w:val="0"/>
          <w:numId w:val="1005"/>
        </w:numPr>
      </w:pPr>
      <w:r>
        <w:t xml:space="preserve">Gold and molybdenum by-product credits should remain material.</w:t>
      </w:r>
    </w:p>
    <w:p>
      <w:pPr>
        <w:pStyle w:val="Compact"/>
        <w:numPr>
          <w:ilvl w:val="0"/>
          <w:numId w:val="1005"/>
        </w:numPr>
      </w:pPr>
      <w:r>
        <w:t xml:space="preserve">The company had 136 million pounds of provisionally priced copper sales at March 31, recorded at an average $5.58/lb, creating potential for favorable subsequent pricing adjustments if final settlements were higher.</w:t>
      </w:r>
    </w:p>
    <w:bookmarkEnd w:id="19"/>
    <w:bookmarkStart w:id="20" w:name="offsets"/>
    <w:p>
      <w:pPr>
        <w:pStyle w:val="Heading3"/>
      </w:pPr>
      <w:r>
        <w:t xml:space="preserve">Offsets</w:t>
      </w:r>
    </w:p>
    <w:p>
      <w:pPr>
        <w:pStyle w:val="Compact"/>
        <w:numPr>
          <w:ilvl w:val="0"/>
          <w:numId w:val="1006"/>
        </w:numPr>
      </w:pPr>
      <w:r>
        <w:t xml:space="preserve">Grasberg remains well below normal operating rates.</w:t>
      </w:r>
    </w:p>
    <w:p>
      <w:pPr>
        <w:pStyle w:val="Compact"/>
        <w:numPr>
          <w:ilvl w:val="0"/>
          <w:numId w:val="1006"/>
        </w:numPr>
      </w:pPr>
      <w:r>
        <w:t xml:space="preserve">Lower Indonesian gold volumes reduce the unusually valuable by-product credits that make Grasberg one of FCX’s lowest-cost operations.</w:t>
      </w:r>
    </w:p>
    <w:p>
      <w:pPr>
        <w:pStyle w:val="Compact"/>
        <w:numPr>
          <w:ilvl w:val="0"/>
          <w:numId w:val="1006"/>
        </w:numPr>
      </w:pPr>
      <w:r>
        <w:t xml:space="preserve">Energy, diesel, sulfur and sulfuric-acid costs increased following the Middle East conflict.</w:t>
      </w:r>
    </w:p>
    <w:p>
      <w:pPr>
        <w:pStyle w:val="Compact"/>
        <w:numPr>
          <w:ilvl w:val="0"/>
          <w:numId w:val="1006"/>
        </w:numPr>
      </w:pPr>
      <w:r>
        <w:t xml:space="preserve">A portion of Indonesian costs will continue to be reported as idle-facility and restoration costs outside FCX’s unit-cost measure.</w:t>
      </w:r>
    </w:p>
    <w:p>
      <w:pPr>
        <w:pStyle w:val="Compact"/>
        <w:numPr>
          <w:ilvl w:val="0"/>
          <w:numId w:val="1006"/>
        </w:numPr>
      </w:pPr>
      <w:r>
        <w:t xml:space="preserve">Smelter inventory and shipment timing may make production, sales, revenue and cash generation diverge.</w:t>
      </w:r>
    </w:p>
    <w:p>
      <w:pPr>
        <w:pStyle w:val="FirstParagraph"/>
      </w:pPr>
      <w:r>
        <w:t xml:space="preserve">Investors should therefore examine</w:t>
      </w:r>
      <w:r>
        <w:t xml:space="preserve"> </w:t>
      </w:r>
      <w:r>
        <w:rPr>
          <w:b/>
          <w:bCs/>
        </w:rPr>
        <w:t xml:space="preserve">absolute operating costs and idle-facility charges</w:t>
      </w:r>
      <w:r>
        <w:t xml:space="preserve">, not just the reported $/lb cash-cost metric. In the first quarter, FCX excluded $406 million of Grasberg idle-facility and restoration costs from consolidated unit net cash costs.</w:t>
      </w:r>
    </w:p>
    <w:p>
      <w:r>
        <w:pict>
          <v:rect style="width:0;height:1.5pt" o:hralign="center" o:hrstd="t" o:hr="t"/>
        </w:pict>
      </w:r>
    </w:p>
    <w:bookmarkEnd w:id="20"/>
    <w:bookmarkEnd w:id="21"/>
    <w:bookmarkStart w:id="24" w:name="Xdcec87aa7cea19e9c4b0a3e3a17336787c9af38"/>
    <w:p>
      <w:pPr>
        <w:pStyle w:val="Heading2"/>
      </w:pPr>
      <w:r>
        <w:t xml:space="preserve">3. Full-year guidance is more important than Q2 earnings</w:t>
      </w:r>
    </w:p>
    <w:p>
      <w:pPr>
        <w:pStyle w:val="FirstParagraph"/>
      </w:pPr>
      <w:r>
        <w:t xml:space="preserve">FCX’s April assumptions included: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April outlook</w:t>
            </w:r>
          </w:p>
        </w:tc>
      </w:tr>
      <w:tr>
        <w:tc>
          <w:tcPr/>
          <w:p>
            <w:pPr>
              <w:pStyle w:val="Compact"/>
            </w:pPr>
            <w:r>
              <w:t xml:space="preserve">Copper sales</w:t>
            </w:r>
          </w:p>
        </w:tc>
        <w:tc>
          <w:tcPr/>
          <w:p>
            <w:pPr>
              <w:pStyle w:val="Compact"/>
              <w:jc w:val="right"/>
            </w:pPr>
            <w:r>
              <w:rPr>
                <w:b/>
                <w:bCs/>
              </w:rPr>
              <w:t xml:space="preserve">3.1B lb</w:t>
            </w:r>
          </w:p>
        </w:tc>
      </w:tr>
      <w:tr>
        <w:tc>
          <w:tcPr/>
          <w:p>
            <w:pPr>
              <w:pStyle w:val="Compact"/>
            </w:pPr>
            <w:r>
              <w:t xml:space="preserve">Gold sales</w:t>
            </w:r>
          </w:p>
        </w:tc>
        <w:tc>
          <w:tcPr/>
          <w:p>
            <w:pPr>
              <w:pStyle w:val="Compact"/>
              <w:jc w:val="right"/>
            </w:pPr>
            <w:r>
              <w:rPr>
                <w:b/>
                <w:bCs/>
              </w:rPr>
              <w:t xml:space="preserve">650,000 oz</w:t>
            </w:r>
          </w:p>
        </w:tc>
      </w:tr>
      <w:tr>
        <w:tc>
          <w:tcPr/>
          <w:p>
            <w:pPr>
              <w:pStyle w:val="Compact"/>
            </w:pPr>
            <w:r>
              <w:t xml:space="preserve">Molybdenum sales</w:t>
            </w:r>
          </w:p>
        </w:tc>
        <w:tc>
          <w:tcPr/>
          <w:p>
            <w:pPr>
              <w:pStyle w:val="Compact"/>
              <w:jc w:val="right"/>
            </w:pPr>
            <w:r>
              <w:rPr>
                <w:b/>
                <w:bCs/>
              </w:rPr>
              <w:t xml:space="preserve">90M lb</w:t>
            </w:r>
          </w:p>
        </w:tc>
      </w:tr>
      <w:tr>
        <w:tc>
          <w:tcPr/>
          <w:p>
            <w:pPr>
              <w:pStyle w:val="Compact"/>
            </w:pPr>
            <w:r>
              <w:t xml:space="preserve">Unit net cash costs</w:t>
            </w:r>
          </w:p>
        </w:tc>
        <w:tc>
          <w:tcPr/>
          <w:p>
            <w:pPr>
              <w:pStyle w:val="Compact"/>
              <w:jc w:val="right"/>
            </w:pPr>
            <w:r>
              <w:rPr>
                <w:b/>
                <w:bCs/>
              </w:rPr>
              <w:t xml:space="preserve">$1.95/lb</w:t>
            </w:r>
          </w:p>
        </w:tc>
      </w:tr>
      <w:tr>
        <w:tc>
          <w:tcPr/>
          <w:p>
            <w:pPr>
              <w:pStyle w:val="Compact"/>
            </w:pPr>
            <w:r>
              <w:t xml:space="preserve">Operating cash flow</w:t>
            </w:r>
          </w:p>
        </w:tc>
        <w:tc>
          <w:tcPr/>
          <w:p>
            <w:pPr>
              <w:pStyle w:val="Compact"/>
              <w:jc w:val="right"/>
            </w:pPr>
            <w:r>
              <w:rPr>
                <w:b/>
                <w:bCs/>
              </w:rPr>
              <w:t xml:space="preserve">$8.7B</w:t>
            </w:r>
          </w:p>
        </w:tc>
      </w:tr>
      <w:tr>
        <w:tc>
          <w:tcPr/>
          <w:p>
            <w:pPr>
              <w:pStyle w:val="Compact"/>
            </w:pPr>
            <w:r>
              <w:t xml:space="preserve">Capital expenditures</w:t>
            </w:r>
          </w:p>
        </w:tc>
        <w:tc>
          <w:tcPr/>
          <w:p>
            <w:pPr>
              <w:pStyle w:val="Compact"/>
              <w:jc w:val="right"/>
            </w:pPr>
            <w:r>
              <w:rPr>
                <w:b/>
                <w:bCs/>
              </w:rPr>
              <w:t xml:space="preserve">$4.3B</w:t>
            </w:r>
          </w:p>
        </w:tc>
      </w:tr>
      <w:tr>
        <w:tc>
          <w:tcPr/>
          <w:p>
            <w:pPr>
              <w:pStyle w:val="Compact"/>
            </w:pPr>
            <w:r>
              <w:t xml:space="preserve">Major-project capital</w:t>
            </w:r>
          </w:p>
        </w:tc>
        <w:tc>
          <w:tcPr/>
          <w:p>
            <w:pPr>
              <w:pStyle w:val="Compact"/>
              <w:jc w:val="right"/>
            </w:pPr>
            <w:r>
              <w:rPr>
                <w:b/>
                <w:bCs/>
              </w:rPr>
              <w:t xml:space="preserve">$3.0B</w:t>
            </w:r>
          </w:p>
        </w:tc>
      </w:tr>
    </w:tbl>
    <w:p>
      <w:pPr>
        <w:pStyle w:val="BodyText"/>
      </w:pPr>
      <w:r>
        <w:t xml:space="preserve">The cash-flow estimate assumed copper at $6.00/lb, gold at $4,500/oz and molybdenum at $25/lb for the final three quarters of 2026. FCX estimated that each $0.10/lb change in copper prices would affect full-year operating cash flow by approximately $220 million. (</w:t>
      </w:r>
      <w:hyperlink r:id="rId22">
        <w:r>
          <w:rPr>
            <w:rStyle w:val="Hyperlink"/>
          </w:rPr>
          <w:t xml:space="preserve">s22.q4cdn.com</w:t>
        </w:r>
      </w:hyperlink>
      <w:r>
        <w:t xml:space="preserve">)</w:t>
      </w:r>
    </w:p>
    <w:p>
      <w:pPr>
        <w:pStyle w:val="BodyText"/>
      </w:pPr>
      <w:r>
        <w:t xml:space="preserve">Management also said second-half copper volumes should be approximately</w:t>
      </w:r>
      <w:r>
        <w:t xml:space="preserve"> </w:t>
      </w:r>
      <w:r>
        <w:rPr>
          <w:b/>
          <w:bCs/>
        </w:rPr>
        <w:t xml:space="preserve">30% above first-half volumes</w:t>
      </w:r>
      <w:r>
        <w:t xml:space="preserve">, while second-half gold volumes should be approximately</w:t>
      </w:r>
      <w:r>
        <w:t xml:space="preserve"> </w:t>
      </w:r>
      <w:r>
        <w:rPr>
          <w:b/>
          <w:bCs/>
        </w:rPr>
        <w:t xml:space="preserve">50% higher</w:t>
      </w:r>
      <w:r>
        <w:t xml:space="preserve">. That makes the second-half trajectory crucial: reaffirming the annual total effectively requires management to maintain confidence in a meaningful sequential acceleration at Grasberg.</w:t>
      </w:r>
    </w:p>
    <w:bookmarkStart w:id="23" w:name="Xda495a923f4388541ba4420ec25624f5da98148"/>
    <w:p>
      <w:pPr>
        <w:pStyle w:val="Heading3"/>
      </w:pPr>
      <w:r>
        <w:t xml:space="preserve">Interpretation of possible guidance outcomes</w:t>
      </w:r>
    </w:p>
    <w:p>
      <w:pPr>
        <w:pStyle w:val="Compact"/>
        <w:numPr>
          <w:ilvl w:val="0"/>
          <w:numId w:val="1007"/>
        </w:numPr>
      </w:pPr>
      <w:r>
        <w:rPr>
          <w:b/>
          <w:bCs/>
        </w:rPr>
        <w:t xml:space="preserve">Guidance reaffirmed with improved Grasberg detail:</w:t>
      </w:r>
      <w:r>
        <w:t xml:space="preserve"> </w:t>
      </w:r>
      <w:r>
        <w:t xml:space="preserve">positive.</w:t>
      </w:r>
    </w:p>
    <w:p>
      <w:pPr>
        <w:pStyle w:val="Compact"/>
        <w:numPr>
          <w:ilvl w:val="0"/>
          <w:numId w:val="1007"/>
        </w:numPr>
      </w:pPr>
      <w:r>
        <w:rPr>
          <w:b/>
          <w:bCs/>
        </w:rPr>
        <w:t xml:space="preserve">Guidance reaffirmed but with wider operating caveats:</w:t>
      </w:r>
      <w:r>
        <w:t xml:space="preserve"> </w:t>
      </w:r>
      <w:r>
        <w:t xml:space="preserve">probably neutral to modestly negative.</w:t>
      </w:r>
    </w:p>
    <w:p>
      <w:pPr>
        <w:pStyle w:val="Compact"/>
        <w:numPr>
          <w:ilvl w:val="0"/>
          <w:numId w:val="1007"/>
        </w:numPr>
      </w:pPr>
      <w:r>
        <w:rPr>
          <w:b/>
          <w:bCs/>
        </w:rPr>
        <w:t xml:space="preserve">Copper guidance maintained but gold reduced:</w:t>
      </w:r>
      <w:r>
        <w:t xml:space="preserve"> </w:t>
      </w:r>
      <w:r>
        <w:t xml:space="preserve">manageable, depending on the cause and cost impact.</w:t>
      </w:r>
    </w:p>
    <w:p>
      <w:pPr>
        <w:pStyle w:val="Compact"/>
        <w:numPr>
          <w:ilvl w:val="0"/>
          <w:numId w:val="1007"/>
        </w:numPr>
      </w:pPr>
      <w:r>
        <w:rPr>
          <w:b/>
          <w:bCs/>
        </w:rPr>
        <w:t xml:space="preserve">Copper volumes or Grasberg ramp cut again:</w:t>
      </w:r>
      <w:r>
        <w:t xml:space="preserve"> </w:t>
      </w:r>
      <w:r>
        <w:t xml:space="preserve">materially negative.</w:t>
      </w:r>
    </w:p>
    <w:p>
      <w:pPr>
        <w:pStyle w:val="Compact"/>
        <w:numPr>
          <w:ilvl w:val="0"/>
          <w:numId w:val="1007"/>
        </w:numPr>
      </w:pPr>
      <w:r>
        <w:rPr>
          <w:b/>
          <w:bCs/>
        </w:rPr>
        <w:t xml:space="preserve">Cash-cost guidance raised despite strong by-product pricing:</w:t>
      </w:r>
      <w:r>
        <w:t xml:space="preserve"> </w:t>
      </w:r>
      <w:r>
        <w:t xml:space="preserve">negative evidence on underlying cost inflation.</w:t>
      </w:r>
    </w:p>
    <w:p>
      <w:r>
        <w:pict>
          <v:rect style="width:0;height:1.5pt" o:hralign="center" o:hrstd="t" o:hr="t"/>
        </w:pict>
      </w:r>
    </w:p>
    <w:bookmarkEnd w:id="23"/>
    <w:bookmarkEnd w:id="24"/>
    <w:bookmarkStart w:id="26" w:name="Xb81f0284e2f3ad4d7b6a1186dd9cc64cefc362e"/>
    <w:p>
      <w:pPr>
        <w:pStyle w:val="Heading2"/>
      </w:pPr>
      <w:r>
        <w:t xml:space="preserve">4. Americas execution and leaching technology</w:t>
      </w:r>
    </w:p>
    <w:p>
      <w:pPr>
        <w:pStyle w:val="FirstParagraph"/>
      </w:pPr>
      <w:r>
        <w:t xml:space="preserve">The Americas operations have become more important while Grasberg is constrained.</w:t>
      </w:r>
    </w:p>
    <w:p>
      <w:pPr>
        <w:pStyle w:val="BodyText"/>
      </w:pPr>
      <w:r>
        <w:t xml:space="preserve">In the first quarter:</w:t>
      </w:r>
    </w:p>
    <w:p>
      <w:pPr>
        <w:pStyle w:val="Compact"/>
        <w:numPr>
          <w:ilvl w:val="0"/>
          <w:numId w:val="1008"/>
        </w:numPr>
      </w:pPr>
      <w:r>
        <w:t xml:space="preserve">U.S. copper sales were</w:t>
      </w:r>
      <w:r>
        <w:t xml:space="preserve"> </w:t>
      </w:r>
      <w:r>
        <w:rPr>
          <w:b/>
          <w:bCs/>
        </w:rPr>
        <w:t xml:space="preserve">327 million pounds</w:t>
      </w:r>
      <w:r>
        <w:t xml:space="preserve">.</w:t>
      </w:r>
    </w:p>
    <w:p>
      <w:pPr>
        <w:pStyle w:val="Compact"/>
        <w:numPr>
          <w:ilvl w:val="0"/>
          <w:numId w:val="1008"/>
        </w:numPr>
      </w:pPr>
      <w:r>
        <w:t xml:space="preserve">U.S. unit net cash costs were</w:t>
      </w:r>
      <w:r>
        <w:t xml:space="preserve"> </w:t>
      </w:r>
      <w:r>
        <w:rPr>
          <w:b/>
          <w:bCs/>
        </w:rPr>
        <w:t xml:space="preserve">$2.93/lb</w:t>
      </w:r>
      <w:r>
        <w:t xml:space="preserve">.</w:t>
      </w:r>
    </w:p>
    <w:p>
      <w:pPr>
        <w:pStyle w:val="Compact"/>
        <w:numPr>
          <w:ilvl w:val="0"/>
          <w:numId w:val="1008"/>
        </w:numPr>
      </w:pPr>
      <w:r>
        <w:t xml:space="preserve">South American sales were</w:t>
      </w:r>
      <w:r>
        <w:t xml:space="preserve"> </w:t>
      </w:r>
      <w:r>
        <w:rPr>
          <w:b/>
          <w:bCs/>
        </w:rPr>
        <w:t xml:space="preserve">248 million pounds</w:t>
      </w:r>
      <w:r>
        <w:t xml:space="preserve">.</w:t>
      </w:r>
    </w:p>
    <w:p>
      <w:pPr>
        <w:pStyle w:val="Compact"/>
        <w:numPr>
          <w:ilvl w:val="0"/>
          <w:numId w:val="1008"/>
        </w:numPr>
      </w:pPr>
      <w:r>
        <w:t xml:space="preserve">South American unit net cash costs were</w:t>
      </w:r>
      <w:r>
        <w:t xml:space="preserve"> </w:t>
      </w:r>
      <w:r>
        <w:rPr>
          <w:b/>
          <w:bCs/>
        </w:rPr>
        <w:t xml:space="preserve">$2.38/lb</w:t>
      </w:r>
      <w:r>
        <w:t xml:space="preserve">.</w:t>
      </w:r>
    </w:p>
    <w:p>
      <w:pPr>
        <w:pStyle w:val="Compact"/>
        <w:numPr>
          <w:ilvl w:val="0"/>
          <w:numId w:val="1008"/>
        </w:numPr>
      </w:pPr>
      <w:r>
        <w:t xml:space="preserve">U.S. copper-mine operating income was roughly 2.5 times the prior-year level.</w:t>
      </w:r>
    </w:p>
    <w:p>
      <w:pPr>
        <w:pStyle w:val="FirstParagraph"/>
      </w:pPr>
      <w:r>
        <w:t xml:space="preserve">Investors should watch for sustained mining-rate improvements at Morenci and stable performance at Cerro Verde. The April report noted higher mining rates at Morenci but also mill-efficiency challenges at Cerro Verde.</w:t>
      </w:r>
    </w:p>
    <w:bookmarkStart w:id="25" w:name="leach-initiative"/>
    <w:p>
      <w:pPr>
        <w:pStyle w:val="Heading3"/>
      </w:pPr>
      <w:r>
        <w:t xml:space="preserve">Leach initiative</w:t>
      </w:r>
    </w:p>
    <w:p>
      <w:pPr>
        <w:pStyle w:val="FirstParagraph"/>
      </w:pPr>
      <w:r>
        <w:t xml:space="preserve">FCX is targeting approximately</w:t>
      </w:r>
      <w:r>
        <w:t xml:space="preserve"> </w:t>
      </w:r>
      <w:r>
        <w:rPr>
          <w:b/>
          <w:bCs/>
        </w:rPr>
        <w:t xml:space="preserve">300 million pounds of incremental copper production from leaching initiatives in 2026</w:t>
      </w:r>
      <w:r>
        <w:t xml:space="preserve">, after producing 54 million incremental pounds in Q1. Management believes additives, heat and improved stockpile irrigation could ultimately establish a path toward 800 million incremental pounds annually.</w:t>
      </w:r>
    </w:p>
    <w:p>
      <w:pPr>
        <w:pStyle w:val="BodyText"/>
      </w:pPr>
      <w:r>
        <w:t xml:space="preserve">Useful Q2 disclosures would include:</w:t>
      </w:r>
    </w:p>
    <w:p>
      <w:pPr>
        <w:pStyle w:val="Compact"/>
        <w:numPr>
          <w:ilvl w:val="0"/>
          <w:numId w:val="1009"/>
        </w:numPr>
      </w:pPr>
      <w:r>
        <w:t xml:space="preserve">First-half incremental leach production relative to the 300-million-pound annual target.</w:t>
      </w:r>
    </w:p>
    <w:p>
      <w:pPr>
        <w:pStyle w:val="Compact"/>
        <w:numPr>
          <w:ilvl w:val="0"/>
          <w:numId w:val="1009"/>
        </w:numPr>
      </w:pPr>
      <w:r>
        <w:t xml:space="preserve">Results from FCX’s internally developed additive at Morenci.</w:t>
      </w:r>
    </w:p>
    <w:p>
      <w:pPr>
        <w:pStyle w:val="Compact"/>
        <w:numPr>
          <w:ilvl w:val="0"/>
          <w:numId w:val="1009"/>
        </w:numPr>
      </w:pPr>
      <w:r>
        <w:t xml:space="preserve">Progress from heated-solution pilot testing.</w:t>
      </w:r>
    </w:p>
    <w:p>
      <w:pPr>
        <w:pStyle w:val="Compact"/>
        <w:numPr>
          <w:ilvl w:val="0"/>
          <w:numId w:val="1009"/>
        </w:numPr>
      </w:pPr>
      <w:r>
        <w:t xml:space="preserve">Whether the company still expects to approach a 400-million-pound annual run rate during 2027.</w:t>
      </w:r>
    </w:p>
    <w:p>
      <w:pPr>
        <w:pStyle w:val="Compact"/>
        <w:numPr>
          <w:ilvl w:val="0"/>
          <w:numId w:val="1009"/>
        </w:numPr>
      </w:pPr>
      <w:r>
        <w:t xml:space="preserve">Any evidence that incremental leach production can lower U.S. unit costs despite inflation.</w:t>
      </w:r>
    </w:p>
    <w:p>
      <w:pPr>
        <w:pStyle w:val="FirstParagraph"/>
      </w:pPr>
      <w:r>
        <w:t xml:space="preserve">This matters because high-margin leach pounds are one of the few near-term ways FCX can expand production without committing billions of dollars to a conventional concentrator.</w:t>
      </w:r>
    </w:p>
    <w:p>
      <w:r>
        <w:pict>
          <v:rect style="width:0;height:1.5pt" o:hralign="center" o:hrstd="t" o:hr="t"/>
        </w:pict>
      </w:r>
    </w:p>
    <w:bookmarkEnd w:id="25"/>
    <w:bookmarkEnd w:id="26"/>
    <w:bookmarkStart w:id="27" w:name="Xfcbcedc5caae64e5e929a8d7994ec5fcaad90ff"/>
    <w:p>
      <w:pPr>
        <w:pStyle w:val="Heading2"/>
      </w:pPr>
      <w:r>
        <w:t xml:space="preserve">5. Growth spending and capital allocation</w:t>
      </w:r>
    </w:p>
    <w:p>
      <w:pPr>
        <w:pStyle w:val="FirstParagraph"/>
      </w:pPr>
      <w:r>
        <w:t xml:space="preserve">FCX entered the quarter with a solid balance sheet:</w:t>
      </w:r>
    </w:p>
    <w:p>
      <w:pPr>
        <w:pStyle w:val="Compact"/>
        <w:numPr>
          <w:ilvl w:val="0"/>
          <w:numId w:val="1010"/>
        </w:numPr>
      </w:pPr>
      <w:r>
        <w:t xml:space="preserve">Cash of</w:t>
      </w:r>
      <w:r>
        <w:t xml:space="preserve"> </w:t>
      </w:r>
      <w:r>
        <w:rPr>
          <w:b/>
          <w:bCs/>
        </w:rPr>
        <w:t xml:space="preserve">$3.7 billion</w:t>
      </w:r>
    </w:p>
    <w:p>
      <w:pPr>
        <w:pStyle w:val="Compact"/>
        <w:numPr>
          <w:ilvl w:val="0"/>
          <w:numId w:val="1010"/>
        </w:numPr>
      </w:pPr>
      <w:r>
        <w:t xml:space="preserve">Consolidated debt of</w:t>
      </w:r>
      <w:r>
        <w:t xml:space="preserve"> </w:t>
      </w:r>
      <w:r>
        <w:rPr>
          <w:b/>
          <w:bCs/>
        </w:rPr>
        <w:t xml:space="preserve">$9.4 billion</w:t>
      </w:r>
    </w:p>
    <w:p>
      <w:pPr>
        <w:pStyle w:val="Compact"/>
        <w:numPr>
          <w:ilvl w:val="0"/>
          <w:numId w:val="1010"/>
        </w:numPr>
      </w:pPr>
      <w:r>
        <w:t xml:space="preserve">Net debt excluding Indonesian downstream-project debt of</w:t>
      </w:r>
      <w:r>
        <w:t xml:space="preserve"> </w:t>
      </w:r>
      <w:r>
        <w:rPr>
          <w:b/>
          <w:bCs/>
        </w:rPr>
        <w:t xml:space="preserve">$2.4 billion</w:t>
      </w:r>
    </w:p>
    <w:p>
      <w:pPr>
        <w:pStyle w:val="Compact"/>
        <w:numPr>
          <w:ilvl w:val="0"/>
          <w:numId w:val="1010"/>
        </w:numPr>
      </w:pPr>
      <w:r>
        <w:t xml:space="preserve">$3 billion of availability under its corporate revolver</w:t>
      </w:r>
    </w:p>
    <w:p>
      <w:pPr>
        <w:pStyle w:val="FirstParagraph"/>
      </w:pPr>
      <w:r>
        <w:t xml:space="preserve">The company subsequently replaced its revolver with a new</w:t>
      </w:r>
      <w:r>
        <w:t xml:space="preserve"> </w:t>
      </w:r>
      <w:r>
        <w:rPr>
          <w:b/>
          <w:bCs/>
        </w:rPr>
        <w:t xml:space="preserve">five-year, $3 billion facility maturing May 14, 2031</w:t>
      </w:r>
      <w:r>
        <w:t xml:space="preserve">, reinforcing its liquidity position.</w:t>
      </w:r>
    </w:p>
    <w:p>
      <w:pPr>
        <w:pStyle w:val="BodyText"/>
      </w:pPr>
      <w:r>
        <w:t xml:space="preserve">The larger capital-allocation question is whether FCX moves toward approving the</w:t>
      </w:r>
      <w:r>
        <w:t xml:space="preserve"> </w:t>
      </w:r>
      <w:r>
        <w:rPr>
          <w:b/>
          <w:bCs/>
        </w:rPr>
        <w:t xml:space="preserve">Bagdad expansion</w:t>
      </w:r>
      <w:r>
        <w:t xml:space="preserve"> </w:t>
      </w:r>
      <w:r>
        <w:t xml:space="preserve">in the second half of 2026. The project could add approximately 200 million–250 million pounds of annual copper production for estimated capital of about $3.5 billion. Management has indicated economics are supported at a copper price near $4/lb.</w:t>
      </w:r>
    </w:p>
    <w:p>
      <w:pPr>
        <w:pStyle w:val="BodyText"/>
      </w:pPr>
      <w:r>
        <w:t xml:space="preserve">Also worth monitoring:</w:t>
      </w:r>
    </w:p>
    <w:p>
      <w:pPr>
        <w:pStyle w:val="Compact"/>
        <w:numPr>
          <w:ilvl w:val="0"/>
          <w:numId w:val="1011"/>
        </w:numPr>
      </w:pPr>
      <w:r>
        <w:t xml:space="preserve">Whether 2026 capex remains at $4.3 billion.</w:t>
      </w:r>
    </w:p>
    <w:p>
      <w:pPr>
        <w:pStyle w:val="Compact"/>
        <w:numPr>
          <w:ilvl w:val="0"/>
          <w:numId w:val="1011"/>
        </w:numPr>
      </w:pPr>
      <w:r>
        <w:t xml:space="preserve">Progress on the El Abra environmental review in Chile.</w:t>
      </w:r>
    </w:p>
    <w:p>
      <w:pPr>
        <w:pStyle w:val="Compact"/>
        <w:numPr>
          <w:ilvl w:val="0"/>
          <w:numId w:val="1011"/>
        </w:numPr>
      </w:pPr>
      <w:r>
        <w:t xml:space="preserve">The cost and timing of Kucing Liar development.</w:t>
      </w:r>
    </w:p>
    <w:p>
      <w:pPr>
        <w:pStyle w:val="Compact"/>
        <w:numPr>
          <w:ilvl w:val="0"/>
          <w:numId w:val="1011"/>
        </w:numPr>
      </w:pPr>
      <w:r>
        <w:t xml:space="preserve">Share repurchase activity after FCX bought $93 million of stock in Q1 at an average price of $54.25.</w:t>
      </w:r>
    </w:p>
    <w:p>
      <w:pPr>
        <w:pStyle w:val="Compact"/>
        <w:numPr>
          <w:ilvl w:val="0"/>
          <w:numId w:val="1011"/>
        </w:numPr>
      </w:pPr>
      <w:r>
        <w:t xml:space="preserve">Whether management prioritizes growth spending over incremental buybacks at current copper and equity prices.</w:t>
      </w:r>
    </w:p>
    <w:p>
      <w:r>
        <w:pict>
          <v:rect style="width:0;height:1.5pt" o:hralign="center" o:hrstd="t" o:hr="t"/>
        </w:pict>
      </w:r>
    </w:p>
    <w:bookmarkEnd w:id="27"/>
    <w:bookmarkStart w:id="31" w:name="potential-share-price-outcomes"/>
    <w:p>
      <w:pPr>
        <w:pStyle w:val="Heading2"/>
      </w:pPr>
      <w:r>
        <w:t xml:space="preserve">Potential share-price outcomes</w:t>
      </w:r>
    </w:p>
    <w:bookmarkStart w:id="28" w:name="bull-case"/>
    <w:p>
      <w:pPr>
        <w:pStyle w:val="Heading3"/>
      </w:pPr>
      <w:r>
        <w:t xml:space="preserve">Bull case</w:t>
      </w:r>
    </w:p>
    <w:p>
      <w:pPr>
        <w:pStyle w:val="Compact"/>
        <w:numPr>
          <w:ilvl w:val="0"/>
          <w:numId w:val="1012"/>
        </w:numPr>
      </w:pPr>
      <w:r>
        <w:t xml:space="preserve">Copper and gold sales meet or modestly exceed guidance.</w:t>
      </w:r>
    </w:p>
    <w:p>
      <w:pPr>
        <w:pStyle w:val="Compact"/>
        <w:numPr>
          <w:ilvl w:val="0"/>
          <w:numId w:val="1012"/>
        </w:numPr>
      </w:pPr>
      <w:r>
        <w:t xml:space="preserve">Unit net cash costs are at or below $2.24/lb.</w:t>
      </w:r>
    </w:p>
    <w:p>
      <w:pPr>
        <w:pStyle w:val="Compact"/>
        <w:numPr>
          <w:ilvl w:val="0"/>
          <w:numId w:val="1012"/>
        </w:numPr>
      </w:pPr>
      <w:r>
        <w:t xml:space="preserve">Grasberg throughput and chute installation are on schedule.</w:t>
      </w:r>
    </w:p>
    <w:p>
      <w:pPr>
        <w:pStyle w:val="Compact"/>
        <w:numPr>
          <w:ilvl w:val="0"/>
          <w:numId w:val="1012"/>
        </w:numPr>
      </w:pPr>
      <w:r>
        <w:t xml:space="preserve">Full-year volume, cost and cash-flow guidance is reaffirmed.</w:t>
      </w:r>
    </w:p>
    <w:p>
      <w:pPr>
        <w:pStyle w:val="Compact"/>
        <w:numPr>
          <w:ilvl w:val="0"/>
          <w:numId w:val="1012"/>
        </w:numPr>
      </w:pPr>
      <w:r>
        <w:t xml:space="preserve">Management provides evidence of drying drawpoints or better-than-planned modified-chute performance.</w:t>
      </w:r>
    </w:p>
    <w:p>
      <w:pPr>
        <w:pStyle w:val="Compact"/>
        <w:numPr>
          <w:ilvl w:val="0"/>
          <w:numId w:val="1012"/>
        </w:numPr>
      </w:pPr>
      <w:r>
        <w:t xml:space="preserve">Leach production is tracking toward the 300-million-pound target.</w:t>
      </w:r>
    </w:p>
    <w:p>
      <w:pPr>
        <w:pStyle w:val="FirstParagraph"/>
      </w:pPr>
      <w:r>
        <w:rPr>
          <w:b/>
          <w:bCs/>
        </w:rPr>
        <w:t xml:space="preserve">Likely interpretation:</w:t>
      </w:r>
      <w:r>
        <w:t xml:space="preserve"> </w:t>
      </w:r>
      <w:r>
        <w:t xml:space="preserve">The April guidance reset was conservative, and the principal operational risk is stabilizing.</w:t>
      </w:r>
    </w:p>
    <w:bookmarkEnd w:id="28"/>
    <w:bookmarkStart w:id="29" w:name="base-case"/>
    <w:p>
      <w:pPr>
        <w:pStyle w:val="Heading3"/>
      </w:pPr>
      <w:r>
        <w:t xml:space="preserve">Base case</w:t>
      </w:r>
    </w:p>
    <w:p>
      <w:pPr>
        <w:pStyle w:val="Compact"/>
        <w:numPr>
          <w:ilvl w:val="0"/>
          <w:numId w:val="1013"/>
        </w:numPr>
      </w:pPr>
      <w:r>
        <w:t xml:space="preserve">EPS and revenue are near consensus.</w:t>
      </w:r>
    </w:p>
    <w:p>
      <w:pPr>
        <w:pStyle w:val="Compact"/>
        <w:numPr>
          <w:ilvl w:val="0"/>
          <w:numId w:val="1013"/>
        </w:numPr>
      </w:pPr>
      <w:r>
        <w:t xml:space="preserve">Quarterly sales are affected by normal shipment timing.</w:t>
      </w:r>
    </w:p>
    <w:p>
      <w:pPr>
        <w:pStyle w:val="Compact"/>
        <w:numPr>
          <w:ilvl w:val="0"/>
          <w:numId w:val="1013"/>
        </w:numPr>
      </w:pPr>
      <w:r>
        <w:t xml:space="preserve">Grasberg is broadly following the revised schedule.</w:t>
      </w:r>
    </w:p>
    <w:p>
      <w:pPr>
        <w:pStyle w:val="Compact"/>
        <w:numPr>
          <w:ilvl w:val="0"/>
          <w:numId w:val="1013"/>
        </w:numPr>
      </w:pPr>
      <w:r>
        <w:t xml:space="preserve">Full-year guidance is maintained, but management stops short of signaling upside.</w:t>
      </w:r>
    </w:p>
    <w:p>
      <w:pPr>
        <w:pStyle w:val="FirstParagraph"/>
      </w:pPr>
      <w:r>
        <w:rPr>
          <w:b/>
          <w:bCs/>
        </w:rPr>
        <w:t xml:space="preserve">Likely interpretation:</w:t>
      </w:r>
      <w:r>
        <w:t xml:space="preserve"> </w:t>
      </w:r>
      <w:r>
        <w:t xml:space="preserve">Constructive, but the stock remains highly sensitive to each subsequent Grasberg update.</w:t>
      </w:r>
    </w:p>
    <w:bookmarkEnd w:id="29"/>
    <w:bookmarkStart w:id="30" w:name="bear-case"/>
    <w:p>
      <w:pPr>
        <w:pStyle w:val="Heading3"/>
      </w:pPr>
      <w:r>
        <w:t xml:space="preserve">Bear case</w:t>
      </w:r>
    </w:p>
    <w:p>
      <w:pPr>
        <w:pStyle w:val="Compact"/>
        <w:numPr>
          <w:ilvl w:val="0"/>
          <w:numId w:val="1014"/>
        </w:numPr>
      </w:pPr>
      <w:r>
        <w:t xml:space="preserve">Grasberg mining rates remain below the revised plan.</w:t>
      </w:r>
    </w:p>
    <w:p>
      <w:pPr>
        <w:pStyle w:val="Compact"/>
        <w:numPr>
          <w:ilvl w:val="0"/>
          <w:numId w:val="1014"/>
        </w:numPr>
      </w:pPr>
      <w:r>
        <w:t xml:space="preserve">Installation, fabrication or commissioning of the chute equipment slips.</w:t>
      </w:r>
    </w:p>
    <w:p>
      <w:pPr>
        <w:pStyle w:val="Compact"/>
        <w:numPr>
          <w:ilvl w:val="0"/>
          <w:numId w:val="1014"/>
        </w:numPr>
      </w:pPr>
      <w:r>
        <w:t xml:space="preserve">Full-year copper or gold guidance is reduced again.</w:t>
      </w:r>
    </w:p>
    <w:p>
      <w:pPr>
        <w:pStyle w:val="Compact"/>
        <w:numPr>
          <w:ilvl w:val="0"/>
          <w:numId w:val="1014"/>
        </w:numPr>
      </w:pPr>
      <w:r>
        <w:t xml:space="preserve">Consolidated cash-cost guidance rises above $1.95/lb.</w:t>
      </w:r>
    </w:p>
    <w:p>
      <w:pPr>
        <w:pStyle w:val="Compact"/>
        <w:numPr>
          <w:ilvl w:val="0"/>
          <w:numId w:val="1014"/>
        </w:numPr>
      </w:pPr>
      <w:r>
        <w:t xml:space="preserve">Smelter or inventory constraints delay sales and cash conversion.</w:t>
      </w:r>
    </w:p>
    <w:p>
      <w:pPr>
        <w:pStyle w:val="Compact"/>
        <w:numPr>
          <w:ilvl w:val="0"/>
          <w:numId w:val="1014"/>
        </w:numPr>
      </w:pPr>
      <w:r>
        <w:t xml:space="preserve">Americas costs rise without enough incremental leach production to offset inflation.</w:t>
      </w:r>
    </w:p>
    <w:p>
      <w:pPr>
        <w:pStyle w:val="FirstParagraph"/>
      </w:pPr>
      <w:r>
        <w:rPr>
          <w:b/>
          <w:bCs/>
        </w:rPr>
        <w:t xml:space="preserve">Likely interpretation:</w:t>
      </w:r>
      <w:r>
        <w:t xml:space="preserve"> </w:t>
      </w:r>
      <w:r>
        <w:t xml:space="preserve">The market will question both the 2027 recovery and management’s ability to forecast the Grasberg restart.</w:t>
      </w:r>
    </w:p>
    <w:p>
      <w:r>
        <w:pict>
          <v:rect style="width:0;height:1.5pt" o:hralign="center" o:hrstd="t" o:hr="t"/>
        </w:pict>
      </w:r>
    </w:p>
    <w:bookmarkEnd w:id="30"/>
    <w:bookmarkEnd w:id="31"/>
    <w:bookmarkStart w:id="32" w:name="questions-the-call-should-answer"/>
    <w:p>
      <w:pPr>
        <w:pStyle w:val="Heading2"/>
      </w:pPr>
      <w:r>
        <w:t xml:space="preserve">Questions the call should answer</w:t>
      </w:r>
    </w:p>
    <w:p>
      <w:pPr>
        <w:pStyle w:val="Compact"/>
        <w:numPr>
          <w:ilvl w:val="0"/>
          <w:numId w:val="1015"/>
        </w:numPr>
      </w:pPr>
      <w:r>
        <w:t xml:space="preserve">What was the average June and July-to-date mining rate at Grasberg Block Cave?</w:t>
      </w:r>
    </w:p>
    <w:p>
      <w:pPr>
        <w:pStyle w:val="Compact"/>
        <w:numPr>
          <w:ilvl w:val="0"/>
          <w:numId w:val="1015"/>
        </w:numPr>
      </w:pPr>
      <w:r>
        <w:t xml:space="preserve">How many modified chutes are currently operating, and have they achieved design performance?</w:t>
      </w:r>
    </w:p>
    <w:p>
      <w:pPr>
        <w:pStyle w:val="Compact"/>
        <w:numPr>
          <w:ilvl w:val="0"/>
          <w:numId w:val="1015"/>
        </w:numPr>
      </w:pPr>
      <w:r>
        <w:t xml:space="preserve">Has the proportion of wet drawpoints improved, worsened or remained stable since April?</w:t>
      </w:r>
    </w:p>
    <w:p>
      <w:pPr>
        <w:pStyle w:val="Compact"/>
        <w:numPr>
          <w:ilvl w:val="0"/>
          <w:numId w:val="1015"/>
        </w:numPr>
      </w:pPr>
      <w:r>
        <w:t xml:space="preserve">Is the 60,000-tonne-per-day second-half target for Production Blocks 2 and 3 unchanged?</w:t>
      </w:r>
    </w:p>
    <w:p>
      <w:pPr>
        <w:pStyle w:val="Compact"/>
        <w:numPr>
          <w:ilvl w:val="0"/>
          <w:numId w:val="1015"/>
        </w:numPr>
      </w:pPr>
      <w:r>
        <w:t xml:space="preserve">What specific milestones must be achieved to maintain 2026 copper and gold guidance?</w:t>
      </w:r>
    </w:p>
    <w:p>
      <w:pPr>
        <w:pStyle w:val="Compact"/>
        <w:numPr>
          <w:ilvl w:val="0"/>
          <w:numId w:val="1015"/>
        </w:numPr>
      </w:pPr>
      <w:r>
        <w:t xml:space="preserve">How much idle-facility expense was recognized in Q2, and what is now expected for the year?</w:t>
      </w:r>
    </w:p>
    <w:p>
      <w:pPr>
        <w:pStyle w:val="Compact"/>
        <w:numPr>
          <w:ilvl w:val="0"/>
          <w:numId w:val="1015"/>
        </w:numPr>
      </w:pPr>
      <w:r>
        <w:t xml:space="preserve">When will shipments to the new Indonesian smelter restart?</w:t>
      </w:r>
    </w:p>
    <w:p>
      <w:pPr>
        <w:pStyle w:val="Compact"/>
        <w:numPr>
          <w:ilvl w:val="0"/>
          <w:numId w:val="1015"/>
        </w:numPr>
      </w:pPr>
      <w:r>
        <w:t xml:space="preserve">Is the 300-million-pound 2026 leach target still intact after first-half results?</w:t>
      </w:r>
    </w:p>
    <w:p>
      <w:pPr>
        <w:pStyle w:val="Compact"/>
        <w:numPr>
          <w:ilvl w:val="0"/>
          <w:numId w:val="1015"/>
        </w:numPr>
      </w:pPr>
      <w:r>
        <w:t xml:space="preserve">Have diesel and sulfuric-acid assumptions changed since April?</w:t>
      </w:r>
    </w:p>
    <w:p>
      <w:pPr>
        <w:pStyle w:val="Compact"/>
        <w:numPr>
          <w:ilvl w:val="0"/>
          <w:numId w:val="1015"/>
        </w:numPr>
      </w:pPr>
      <w:r>
        <w:t xml:space="preserve">Is a Bagdad investment decision still expected in the second half of 2026?</w:t>
      </w:r>
    </w:p>
    <w:bookmarkEnd w:id="32"/>
    <w:bookmarkStart w:id="33" w:name="bottom-line"/>
    <w:p>
      <w:pPr>
        <w:pStyle w:val="Heading2"/>
      </w:pPr>
      <w:r>
        <w:t xml:space="preserve">Bottom line</w:t>
      </w:r>
    </w:p>
    <w:p>
      <w:pPr>
        <w:pStyle w:val="FirstParagraph"/>
      </w:pPr>
      <w:r>
        <w:rPr>
          <w:b/>
          <w:bCs/>
        </w:rPr>
        <w:t xml:space="preserve">FCX has a favorable commodity-price backdrop, but this is fundamentally an operational-confidence quarter.</w:t>
      </w:r>
      <w:r>
        <w:t xml:space="preserve"> </w:t>
      </w:r>
      <w:r>
        <w:t xml:space="preserve">Strong copper prices should support earnings even with sharply lower year-over-year Grasberg volumes. The decisive factor will be whether management can demonstrate that the revised mine plan is working and reaffirm the production acceleration expected in the second half.</w:t>
      </w:r>
    </w:p>
    <w:p>
      <w:pPr>
        <w:pStyle w:val="BodyText"/>
      </w:pPr>
      <w:r>
        <w:t xml:space="preserve">The cleanest positive setup is</w:t>
      </w:r>
      <w:r>
        <w:t xml:space="preserve"> </w:t>
      </w:r>
      <w:r>
        <w:rPr>
          <w:b/>
          <w:bCs/>
        </w:rPr>
        <w:t xml:space="preserve">guidance maintained, Grasberg milestones on schedule and cash costs contained</w:t>
      </w:r>
      <w:r>
        <w:t xml:space="preserve">. A small EPS miss under those conditions could be overlooked. A headline beat paired with another Grasberg delay probably would not be.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s22.q4cdn.com/529358580/files/doc_news/2026/FCX_260423.pdf?utm_source=openai" TargetMode="External" /><Relationship Type="http://schemas.openxmlformats.org/officeDocument/2006/relationships/hyperlink" Id="rId9" Target="https://www.fcx.com/?utm_source=openai" TargetMode="External" /><Relationship Type="http://schemas.openxmlformats.org/officeDocument/2006/relationships/hyperlink" Id="rId12" Target="https://www.sec.gov/Archives/edgar/data/831259/000083125926000021/fcx1q26cc_final.htm?utm_source=openai" TargetMode="External" /><Relationship Type="http://schemas.openxmlformats.org/officeDocument/2006/relationships/hyperlink" Id="rId11" Target="https://www.tipranks.com/stocks/fcx/earnings?utm_source=openai" TargetMode="External" /><Relationship Type="http://schemas.openxmlformats.org/officeDocument/2006/relationships/hyperlink" Id="rId13" Target="https://www.tradingview.com/news/reuters.com%2C2026-07-15%3Anewsml_RSO3532Ma%3A0-reg-rio-tinto-second-quarter-production-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22" Target="https://s22.q4cdn.com/529358580/files/doc_news/2026/FCX_260423.pdf?utm_source=openai" TargetMode="External" /><Relationship Type="http://schemas.openxmlformats.org/officeDocument/2006/relationships/hyperlink" Id="rId9" Target="https://www.fcx.com/?utm_source=openai" TargetMode="External" /><Relationship Type="http://schemas.openxmlformats.org/officeDocument/2006/relationships/hyperlink" Id="rId12" Target="https://www.sec.gov/Archives/edgar/data/831259/000083125926000021/fcx1q26cc_final.htm?utm_source=openai" TargetMode="External" /><Relationship Type="http://schemas.openxmlformats.org/officeDocument/2006/relationships/hyperlink" Id="rId11" Target="https://www.tipranks.com/stocks/fcx/earnings?utm_source=openai" TargetMode="External" /><Relationship Type="http://schemas.openxmlformats.org/officeDocument/2006/relationships/hyperlink" Id="rId13" Target="https://www.tradingview.com/news/reuters.com%2C2026-07-15%3Anewsml_RSO3532Ma%3A0-reg-rio-tinto-second-quarter-production-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2026-07-23T00:52:09Z</dcterms:created>
  <dcterms:modified xsi:type="dcterms:W3CDTF">2026-07-23T00:52:09Z</dcterms:modified>
</cp:coreProperties>
</file>

<file path=docProps/custom.xml><?xml version="1.0" encoding="utf-8"?>
<Properties xmlns="http://schemas.openxmlformats.org/officeDocument/2006/custom-properties" xmlns:vt="http://schemas.openxmlformats.org/officeDocument/2006/docPropsVTypes"/>
</file>