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fcx-2q26-earnings-preview"/>
    <w:p>
      <w:pPr>
        <w:pStyle w:val="Heading1"/>
      </w:pPr>
      <w:r>
        <w:t xml:space="preserve">FCX 2Q26 Earnings Preview</w:t>
      </w:r>
    </w:p>
    <w:p>
      <w:pPr>
        <w:pStyle w:val="BlockText"/>
      </w:pPr>
      <w:r>
        <w:rPr>
          <w:b/>
          <w:bCs/>
        </w:rPr>
        <w:t xml:space="preserve">Timing note:</w:t>
      </w:r>
      <w:r>
        <w:t xml:space="preserve"> </w:t>
      </w:r>
      <w:r>
        <w:t xml:space="preserve">July 23, 2026 is</w:t>
      </w:r>
      <w:r>
        <w:t xml:space="preserve"> </w:t>
      </w:r>
      <w:r>
        <w:rPr>
          <w:b/>
          <w:bCs/>
        </w:rPr>
        <w:t xml:space="preserve">today</w:t>
      </w:r>
      <w:r>
        <w:t xml:space="preserve">, not tomorrow. FCX’s 2Q26 conference call is scheduled for</w:t>
      </w:r>
      <w:r>
        <w:t xml:space="preserve"> </w:t>
      </w:r>
      <w:r>
        <w:rPr>
          <w:b/>
          <w:bCs/>
        </w:rPr>
        <w:t xml:space="preserve">10:00 a.m. ET today</w:t>
      </w:r>
      <w:r>
        <w:t xml:space="preserve">. (</w:t>
      </w:r>
      <w:hyperlink r:id="rId9">
        <w:r>
          <w:rPr>
            <w:rStyle w:val="Hyperlink"/>
          </w:rPr>
          <w:t xml:space="preserve">fcx.com</w:t>
        </w:r>
      </w:hyperlink>
      <w:r>
        <w:t xml:space="preserve">)</w:t>
      </w:r>
    </w:p>
    <w:bookmarkStart w:id="12" w:name="bottom-line"/>
    <w:p>
      <w:pPr>
        <w:pStyle w:val="Heading2"/>
      </w:pPr>
      <w:r>
        <w:t xml:space="preserve">Bottom line</w:t>
      </w:r>
    </w:p>
    <w:p>
      <w:pPr>
        <w:pStyle w:val="FirstParagraph"/>
      </w:pPr>
      <w:r>
        <w:t xml:space="preserve">This is likely to be a</w:t>
      </w:r>
      <w:r>
        <w:t xml:space="preserve"> </w:t>
      </w:r>
      <w:r>
        <w:rPr>
          <w:b/>
          <w:bCs/>
        </w:rPr>
        <w:t xml:space="preserve">guidance-and-execution quarter more than a headline EPS quarter</w:t>
      </w:r>
      <w:r>
        <w:t xml:space="preserve">. Copper prices remain favorable, which should support earnings and cash generation, but the stock’s near-term reaction will hinge on whether Freeport can demonstrate that the</w:t>
      </w:r>
      <w:r>
        <w:t xml:space="preserve"> </w:t>
      </w:r>
      <w:r>
        <w:rPr>
          <w:b/>
          <w:bCs/>
        </w:rPr>
        <w:t xml:space="preserve">Grasberg Block Cave ramp is tracking its revised plan</w:t>
      </w:r>
      <w:r>
        <w:t xml:space="preserve">—with no further disruption to 2026–27 volume expectations.</w:t>
      </w:r>
    </w:p>
    <w:p>
      <w:pPr>
        <w:pStyle w:val="BodyText"/>
      </w:pPr>
      <w:r>
        <w:t xml:space="preserve">The setup is constructive on price realization: LME cash copper was about</w:t>
      </w:r>
      <w:r>
        <w:t xml:space="preserve"> </w:t>
      </w:r>
      <m:oMath>
        <m:r>
          <m:t>6.28</m:t>
        </m:r>
        <m:r>
          <m:rPr>
            <m:sty m:val="p"/>
          </m:rPr>
          <m:t>/</m:t>
        </m:r>
        <m:r>
          <m:t>l</m:t>
        </m:r>
        <m:r>
          <m:t>b</m:t>
        </m:r>
        <m:r>
          <m:t>e</m:t>
        </m:r>
        <m:r>
          <m:t>q</m:t>
        </m:r>
        <m:r>
          <m:t>u</m:t>
        </m:r>
        <m:r>
          <m:t>i</m:t>
        </m:r>
        <m:r>
          <m:t>v</m:t>
        </m:r>
        <m:r>
          <m:t>a</m:t>
        </m:r>
        <m:r>
          <m:t>l</m:t>
        </m:r>
        <m:r>
          <m:t>e</m:t>
        </m:r>
        <m:r>
          <m:t>n</m:t>
        </m:r>
        <m:r>
          <m:t>t</m:t>
        </m:r>
        <m:r>
          <m:t>o</m:t>
        </m:r>
        <m:r>
          <m:t>n</m:t>
        </m:r>
        <m:r>
          <m:t>J</m:t>
        </m:r>
        <m:r>
          <m:t>u</m:t>
        </m:r>
        <m:r>
          <m:t>l</m:t>
        </m:r>
        <m:r>
          <m:t>y</m:t>
        </m:r>
        <m:r>
          <m:t>21</m:t>
        </m:r>
        <m:r>
          <m:rPr>
            <m:sty m:val="p"/>
          </m:rPr>
          <m:t>*</m:t>
        </m:r>
        <m:r>
          <m:rPr>
            <m:sty m:val="p"/>
          </m:rPr>
          <m:t>*</m:t>
        </m:r>
        <m:r>
          <m:rPr>
            <m:sty m:val="p"/>
          </m:rPr>
          <m:t>,</m:t>
        </m:r>
        <m:r>
          <m:t>v</m:t>
        </m:r>
        <m:r>
          <m:t>e</m:t>
        </m:r>
        <m:r>
          <m:t>r</m:t>
        </m:r>
        <m:r>
          <m:t>s</m:t>
        </m:r>
        <m:r>
          <m:t>u</m:t>
        </m:r>
        <m:r>
          <m:t>s</m:t>
        </m:r>
        <m:r>
          <m:t>F</m:t>
        </m:r>
        <m:r>
          <m:t>C</m:t>
        </m:r>
        <m:r>
          <m:t>X</m:t>
        </m:r>
        <m:r>
          <m:rPr>
            <m:sty m:val="p"/>
          </m:rPr>
          <m:t>’</m:t>
        </m:r>
        <m:r>
          <m:t>s</m:t>
        </m:r>
        <m:r>
          <m:rPr>
            <m:sty m:val="p"/>
          </m:rPr>
          <m:t>*</m:t>
        </m:r>
        <m:r>
          <m:rPr>
            <m:sty m:val="p"/>
          </m:rPr>
          <m:t>*</m:t>
        </m:r>
      </m:oMath>
      <w:r>
        <w:rPr>
          <w:b/>
          <w:bCs/>
        </w:rPr>
        <w:t xml:space="preserve">5.78/lb</w:t>
      </w:r>
      <w:r>
        <w:t xml:space="preserve"> </w:t>
      </w:r>
      <w:r>
        <w:t xml:space="preserve">consolidated realized copper price in 1Q26. That does not translate one-for-one into 2Q realizations because of provisional pricing, regional benchmarks, and sales timing, but it provides a favorable backdrop. (</w:t>
      </w:r>
      <w:hyperlink r:id="rId10">
        <w:r>
          <w:rPr>
            <w:rStyle w:val="Hyperlink"/>
          </w:rPr>
          <w:t xml:space="preserve">westmetall.com</w:t>
        </w:r>
      </w:hyperlink>
      <w:r>
        <w:t xml:space="preserve">)</w:t>
      </w:r>
    </w:p>
    <w:p>
      <w:pPr>
        <w:pStyle w:val="BodyText"/>
      </w:pPr>
      <w:r>
        <w:t xml:space="preserve">External consensus sources point to roughly</w:t>
      </w:r>
      <w:r>
        <w:t xml:space="preserve"> </w:t>
      </w:r>
      <m:oMath>
        <m:r>
          <m:t>0.62</m:t>
        </m:r>
        <m:r>
          <m:t>o</m:t>
        </m:r>
        <m:r>
          <m:t>f</m:t>
        </m:r>
        <m:r>
          <m:t>2</m:t>
        </m:r>
        <m:r>
          <m:t>Q</m:t>
        </m:r>
        <m:r>
          <m:t>E</m:t>
        </m:r>
        <m:r>
          <m:t>P</m:t>
        </m:r>
        <m:r>
          <m:t>S</m:t>
        </m:r>
        <m:r>
          <m:rPr>
            <m:sty m:val="p"/>
          </m:rPr>
          <m:t>*</m:t>
        </m:r>
        <m:r>
          <m:rPr>
            <m:sty m:val="p"/>
          </m:rPr>
          <m:t>*</m:t>
        </m:r>
        <m:r>
          <m:t>a</m:t>
        </m:r>
        <m:r>
          <m:t>n</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6.47 billion of revenue</w:t>
      </w:r>
      <w:r>
        <w:t xml:space="preserve">. (</w:t>
      </w:r>
      <w:hyperlink r:id="rId11">
        <w:r>
          <w:rPr>
            <w:rStyle w:val="Hyperlink"/>
          </w:rPr>
          <w:t xml:space="preserve">tipranks.com</w:t>
        </w:r>
      </w:hyperlink>
      <w:r>
        <w:t xml:space="preserve">)</w:t>
      </w:r>
    </w:p>
    <w:bookmarkEnd w:id="12"/>
    <w:bookmarkStart w:id="13" w:name="Xf10631050e14dcb3069bd7610449c1e8e574d81"/>
    <w:p>
      <w:pPr>
        <w:pStyle w:val="Heading2"/>
      </w:pPr>
      <w:r>
        <w:t xml:space="preserve">The central debate: is Grasberg stabilizing?</w:t>
      </w:r>
    </w:p>
    <w:p>
      <w:pPr>
        <w:pStyle w:val="FirstParagraph"/>
      </w:pPr>
      <w:r>
        <w:t xml:space="preserve">FCX’s investment case remains anchored in its long-duration copper portfolio, but the immediate swing factor is Indonesia. In April, FCX revised its Grasberg Block Cave ramp because a higher-than-expected proportion of wet drawpoints constrained ore loading into the automated train system. The company’s solution is to install chute-flow regulators (“spillminators”), allowing wet ore to be handled more reliably.</w:t>
      </w:r>
    </w:p>
    <w:p>
      <w:pPr>
        <w:pStyle w:val="BodyText"/>
      </w:pPr>
      <w:r>
        <w:t xml:space="preserve">Management’s revised framework called for:</w:t>
      </w:r>
    </w:p>
    <w:p>
      <w:pPr>
        <w:pStyle w:val="Compact"/>
        <w:numPr>
          <w:ilvl w:val="0"/>
          <w:numId w:val="1001"/>
        </w:numPr>
      </w:pPr>
      <w:r>
        <w:t xml:space="preserve">Production Blocks 2 and 3 to operate at roughly</w:t>
      </w:r>
      <w:r>
        <w:t xml:space="preserve"> </w:t>
      </w:r>
      <w:r>
        <w:rPr>
          <w:b/>
          <w:bCs/>
        </w:rPr>
        <w:t xml:space="preserve">60% of capacity in 2H26</w:t>
      </w:r>
      <w:r>
        <w:t xml:space="preserve">;</w:t>
      </w:r>
    </w:p>
    <w:p>
      <w:pPr>
        <w:pStyle w:val="Compact"/>
        <w:numPr>
          <w:ilvl w:val="0"/>
          <w:numId w:val="1001"/>
        </w:numPr>
      </w:pPr>
      <w:r>
        <w:t xml:space="preserve">Throughput to improve toward approximately</w:t>
      </w:r>
      <w:r>
        <w:t xml:space="preserve"> </w:t>
      </w:r>
      <w:r>
        <w:rPr>
          <w:b/>
          <w:bCs/>
        </w:rPr>
        <w:t xml:space="preserve">90,000 tonnes/day by mid-2027</w:t>
      </w:r>
      <w:r>
        <w:t xml:space="preserve">;</w:t>
      </w:r>
    </w:p>
    <w:p>
      <w:pPr>
        <w:pStyle w:val="Compact"/>
        <w:numPr>
          <w:ilvl w:val="0"/>
          <w:numId w:val="1001"/>
        </w:numPr>
      </w:pPr>
      <w:r>
        <w:t xml:space="preserve">Overall Grasberg operating rates of about</w:t>
      </w:r>
      <w:r>
        <w:t xml:space="preserve"> </w:t>
      </w:r>
      <w:r>
        <w:rPr>
          <w:b/>
          <w:bCs/>
        </w:rPr>
        <w:t xml:space="preserve">65% in 2H26</w:t>
      </w:r>
      <w:r>
        <w:t xml:space="preserve">,</w:t>
      </w:r>
      <w:r>
        <w:t xml:space="preserve"> </w:t>
      </w:r>
      <w:r>
        <w:rPr>
          <w:b/>
          <w:bCs/>
        </w:rPr>
        <w:t xml:space="preserve">80% by mid-2027</w:t>
      </w:r>
      <w:r>
        <w:t xml:space="preserve">, and near-full capacity by the end of 2027;</w:t>
      </w:r>
    </w:p>
    <w:p>
      <w:pPr>
        <w:pStyle w:val="Compact"/>
        <w:numPr>
          <w:ilvl w:val="0"/>
          <w:numId w:val="1001"/>
        </w:numPr>
      </w:pPr>
      <w:r>
        <w:t xml:space="preserve">Only modest capex required for the chute modifications—approximately</w:t>
      </w:r>
      <w:r>
        <w:t xml:space="preserve"> </w:t>
      </w:r>
      <w:r>
        <w:rPr>
          <w:b/>
          <w:bCs/>
        </w:rPr>
        <w:t xml:space="preserve">$60–70 million</w:t>
      </w:r>
      <w:r>
        <w:t xml:space="preserve">.</w:t>
      </w:r>
    </w:p>
    <w:p>
      <w:pPr>
        <w:pStyle w:val="FirstParagraph"/>
      </w:pPr>
      <w:r>
        <w:t xml:space="preserve">For 2Q, investors should focus less on the quarter’s absolute Indonesia sales and more on evidence that this plan is working:</w:t>
      </w:r>
    </w:p>
    <w:p>
      <w:pPr>
        <w:pStyle w:val="Compact"/>
        <w:numPr>
          <w:ilvl w:val="0"/>
          <w:numId w:val="1002"/>
        </w:numPr>
      </w:pPr>
      <w:r>
        <w:rPr>
          <w:b/>
          <w:bCs/>
        </w:rPr>
        <w:t xml:space="preserve">How many chute upgrades are installed and operating?</w:t>
      </w:r>
    </w:p>
    <w:p>
      <w:pPr>
        <w:pStyle w:val="Compact"/>
        <w:numPr>
          <w:ilvl w:val="0"/>
          <w:numId w:val="1002"/>
        </w:numPr>
      </w:pPr>
      <w:r>
        <w:rPr>
          <w:b/>
          <w:bCs/>
        </w:rPr>
        <w:t xml:space="preserve">Has the wet/dry drawpoint mix improved, deteriorated, or remained stable?</w:t>
      </w:r>
    </w:p>
    <w:p>
      <w:pPr>
        <w:pStyle w:val="Compact"/>
        <w:numPr>
          <w:ilvl w:val="0"/>
          <w:numId w:val="1002"/>
        </w:numPr>
      </w:pPr>
      <w:r>
        <w:rPr>
          <w:b/>
          <w:bCs/>
        </w:rPr>
        <w:t xml:space="preserve">Are throughput rates progressing in line with the 60%-of-capacity 2H26 plan?</w:t>
      </w:r>
    </w:p>
    <w:p>
      <w:pPr>
        <w:pStyle w:val="Compact"/>
        <w:numPr>
          <w:ilvl w:val="0"/>
          <w:numId w:val="1002"/>
        </w:numPr>
      </w:pPr>
      <w:r>
        <w:rPr>
          <w:b/>
          <w:bCs/>
        </w:rPr>
        <w:t xml:space="preserve">Is management maintaining—rather than trimming—its full-year volume outlook?</w:t>
      </w:r>
    </w:p>
    <w:p>
      <w:pPr>
        <w:pStyle w:val="FirstParagraph"/>
      </w:pPr>
      <w:r>
        <w:t xml:space="preserve">A reiteration of the revised ramp plan would likely be viewed favorably because it would remove some concern that the April reset was merely the first of several downward revisions. Conversely, even a small guide-down could matter disproportionately because Grasberg is FCX’s highest-margin copper-and-gold asset.</w:t>
      </w:r>
    </w:p>
    <w:bookmarkEnd w:id="13"/>
    <w:bookmarkStart w:id="15" w:name="what-fcx-has-guided-for-2q"/>
    <w:p>
      <w:pPr>
        <w:pStyle w:val="Heading2"/>
      </w:pPr>
      <w:r>
        <w:t xml:space="preserve">What FCX has guided for 2Q</w:t>
      </w:r>
    </w:p>
    <w:p>
      <w:pPr>
        <w:pStyle w:val="FirstParagraph"/>
      </w:pPr>
      <w:r>
        <w:t xml:space="preserve">At its 1Q release, FCX guided to 2Q26 consolidated sales of approximately: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2Q26 guidance</w:t>
            </w:r>
          </w:p>
        </w:tc>
      </w:tr>
      <w:tr>
        <w:tc>
          <w:tcPr/>
          <w:p>
            <w:pPr>
              <w:pStyle w:val="Compact"/>
            </w:pPr>
            <w:r>
              <w:t xml:space="preserve">Copper sales</w:t>
            </w:r>
          </w:p>
        </w:tc>
        <w:tc>
          <w:tcPr/>
          <w:p>
            <w:pPr>
              <w:pStyle w:val="Compact"/>
              <w:jc w:val="right"/>
            </w:pPr>
            <w:r>
              <w:rPr>
                <w:b/>
                <w:bCs/>
              </w:rPr>
              <w:t xml:space="preserve">690 million lb</w:t>
            </w:r>
          </w:p>
        </w:tc>
      </w:tr>
      <w:tr>
        <w:tc>
          <w:tcPr/>
          <w:p>
            <w:pPr>
              <w:pStyle w:val="Compact"/>
            </w:pPr>
            <w:r>
              <w:t xml:space="preserve">Gold sales</w:t>
            </w:r>
          </w:p>
        </w:tc>
        <w:tc>
          <w:tcPr/>
          <w:p>
            <w:pPr>
              <w:pStyle w:val="Compact"/>
              <w:jc w:val="right"/>
            </w:pPr>
            <w:r>
              <w:rPr>
                <w:b/>
                <w:bCs/>
              </w:rPr>
              <w:t xml:space="preserve">140 thousand oz</w:t>
            </w:r>
          </w:p>
        </w:tc>
      </w:tr>
      <w:tr>
        <w:tc>
          <w:tcPr/>
          <w:p>
            <w:pPr>
              <w:pStyle w:val="Compact"/>
            </w:pPr>
            <w:r>
              <w:t xml:space="preserve">Molybdenum sales</w:t>
            </w:r>
          </w:p>
        </w:tc>
        <w:tc>
          <w:tcPr/>
          <w:p>
            <w:pPr>
              <w:pStyle w:val="Compact"/>
              <w:jc w:val="right"/>
            </w:pPr>
            <w:r>
              <w:rPr>
                <w:b/>
                <w:bCs/>
              </w:rPr>
              <w:t xml:space="preserve">22 million lb</w:t>
            </w:r>
          </w:p>
        </w:tc>
      </w:tr>
      <w:tr>
        <w:tc>
          <w:tcPr/>
          <w:p>
            <w:pPr>
              <w:pStyle w:val="Compact"/>
            </w:pPr>
            <w:r>
              <w:t xml:space="preserve">Consolidated unit net cash cost</w:t>
            </w:r>
          </w:p>
        </w:tc>
        <w:tc>
          <w:tcPr/>
          <w:p>
            <w:pPr>
              <w:pStyle w:val="Compact"/>
              <w:jc w:val="right"/>
            </w:pPr>
            <w:r>
              <w:rPr>
                <w:b/>
                <w:bCs/>
              </w:rPr>
              <w:t xml:space="preserve">$2.24/lb copper</w:t>
            </w:r>
          </w:p>
        </w:tc>
      </w:tr>
    </w:tbl>
    <w:p>
      <w:pPr>
        <w:pStyle w:val="BodyText"/>
      </w:pPr>
      <w:r>
        <w:t xml:space="preserve">The 2Q cash-cost outlook is above 1Q’s</w:t>
      </w:r>
      <w:r>
        <w:t xml:space="preserve"> </w:t>
      </w:r>
      <w:r>
        <w:rPr>
          <w:b/>
          <w:bCs/>
        </w:rPr>
        <w:t xml:space="preserve">$1.91/lb</w:t>
      </w:r>
      <w:r>
        <w:t xml:space="preserve">, principally because of lower Grasberg volumes and higher energy/consumables costs. That means an operationally “in-line” quarter could still show a sequential cost increase; the key is whether costs remain near the guided $2.24/lb rather than indicating broader inflation pressure. FCX has flagged diesel, sulfur, sulfuric acid, and other inputs as areas of volatility. (</w:t>
      </w:r>
      <w:hyperlink r:id="rId14">
        <w:r>
          <w:rPr>
            <w:rStyle w:val="Hyperlink"/>
          </w:rPr>
          <w:t xml:space="preserve">s22.q4cdn.com</w:t>
        </w:r>
      </w:hyperlink>
      <w:r>
        <w:t xml:space="preserve">)</w:t>
      </w:r>
    </w:p>
    <w:bookmarkEnd w:id="15"/>
    <w:bookmarkStart w:id="16" w:name="X51844d92a5c981677304be48966e630c36db3dc"/>
    <w:p>
      <w:pPr>
        <w:pStyle w:val="Heading2"/>
      </w:pPr>
      <w:r>
        <w:t xml:space="preserve">Copper pricing should help—but may already be expected</w:t>
      </w:r>
    </w:p>
    <w:p>
      <w:pPr>
        <w:pStyle w:val="FirstParagraph"/>
      </w:pPr>
      <w:r>
        <w:t xml:space="preserve">The commodity environment remains a material positive. FCX’s first-quarter realized copper price was $5.78/lb, and the company’s full-year operating-cash-flow outlook used a</w:t>
      </w:r>
      <w:r>
        <w:t xml:space="preserve"> </w:t>
      </w:r>
      <m:oMath>
        <m:r>
          <m:t>6.00</m:t>
        </m:r>
        <m:r>
          <m:rPr>
            <m:sty m:val="p"/>
          </m:rPr>
          <m:t>/</m:t>
        </m:r>
        <m:r>
          <m:t>l</m:t>
        </m:r>
        <m:r>
          <m:t>b</m:t>
        </m:r>
        <m:r>
          <m:t>c</m:t>
        </m:r>
        <m:r>
          <m:t>o</m:t>
        </m:r>
        <m:r>
          <m:t>p</m:t>
        </m:r>
        <m:r>
          <m:t>p</m:t>
        </m:r>
        <m:r>
          <m:t>e</m:t>
        </m:r>
        <m:r>
          <m:t>r</m:t>
        </m:r>
        <m:r>
          <m:t>a</m:t>
        </m:r>
        <m:r>
          <m:t>s</m:t>
        </m:r>
        <m:r>
          <m:t>s</m:t>
        </m:r>
        <m:r>
          <m:t>u</m:t>
        </m:r>
        <m:r>
          <m:t>m</m:t>
        </m:r>
        <m:r>
          <m:t>p</m:t>
        </m:r>
        <m:r>
          <m:t>t</m:t>
        </m:r>
        <m:r>
          <m:t>i</m:t>
        </m:r>
        <m:r>
          <m:t>o</m:t>
        </m:r>
        <m:r>
          <m:t>n</m:t>
        </m:r>
        <m:r>
          <m:t>f</m:t>
        </m:r>
        <m:r>
          <m:t>o</m:t>
        </m:r>
        <m:r>
          <m:t>r</m:t>
        </m:r>
        <m:r>
          <m:t>t</m:t>
        </m:r>
        <m:r>
          <m:t>h</m:t>
        </m:r>
        <m:r>
          <m:t>e</m:t>
        </m:r>
        <m:r>
          <m:t>r</m:t>
        </m:r>
        <m:r>
          <m:t>e</m:t>
        </m:r>
        <m:r>
          <m:t>m</m:t>
        </m:r>
        <m:r>
          <m:t>a</m:t>
        </m:r>
        <m:r>
          <m:t>i</m:t>
        </m:r>
        <m:r>
          <m:t>n</m:t>
        </m:r>
        <m:r>
          <m:t>d</m:t>
        </m:r>
        <m:r>
          <m:t>e</m:t>
        </m:r>
        <m:r>
          <m:t>r</m:t>
        </m:r>
        <m:r>
          <m:t>o</m:t>
        </m:r>
        <m:r>
          <m:t>f</m:t>
        </m:r>
        <m:r>
          <m:t>2026</m:t>
        </m:r>
        <m:r>
          <m:rPr>
            <m:sty m:val="p"/>
          </m:rPr>
          <m:t>.</m:t>
        </m:r>
        <m:r>
          <m:t>A</m:t>
        </m:r>
        <m:r>
          <m:t>t</m:t>
        </m:r>
        <m:r>
          <m:t>1</m:t>
        </m:r>
        <m:r>
          <m:t>Q</m:t>
        </m:r>
        <m:r>
          <m:rPr>
            <m:sty m:val="p"/>
          </m:rPr>
          <m:t>,</m:t>
        </m:r>
        <m:r>
          <m:t>F</m:t>
        </m:r>
        <m:r>
          <m:t>C</m:t>
        </m:r>
        <m:r>
          <m:t>X</m:t>
        </m:r>
        <m:r>
          <m:t>e</m:t>
        </m:r>
        <m:r>
          <m:t>s</m:t>
        </m:r>
        <m:r>
          <m:t>t</m:t>
        </m:r>
        <m:r>
          <m:t>i</m:t>
        </m:r>
        <m:r>
          <m:t>m</m:t>
        </m:r>
        <m:r>
          <m:t>a</m:t>
        </m:r>
        <m:r>
          <m:t>t</m:t>
        </m:r>
        <m:r>
          <m:t>e</m:t>
        </m:r>
        <m:r>
          <m:t>d</m:t>
        </m:r>
        <m:r>
          <m:t>t</m:t>
        </m:r>
        <m:r>
          <m:t>h</m:t>
        </m:r>
        <m:r>
          <m:t>a</m:t>
        </m:r>
        <m:r>
          <m:t>t</m:t>
        </m:r>
        <m:r>
          <m:t>e</m:t>
        </m:r>
        <m:r>
          <m:t>v</m:t>
        </m:r>
        <m:r>
          <m:t>e</m:t>
        </m:r>
        <m:r>
          <m:t>r</m:t>
        </m:r>
        <m:r>
          <m:t>y</m:t>
        </m:r>
        <m:r>
          <m:rPr>
            <m:sty m:val="p"/>
          </m:rPr>
          <m:t>*</m:t>
        </m:r>
        <m:r>
          <m:rPr>
            <m:sty m:val="p"/>
          </m:rPr>
          <m:t>*</m:t>
        </m:r>
      </m:oMath>
      <w:r>
        <w:t xml:space="preserve">0.10/lb** change in average copper price for the balance of 2026 would affect annual operating cash flow by roughly</w:t>
      </w:r>
      <w:r>
        <w:t xml:space="preserve"> </w:t>
      </w:r>
      <w:r>
        <w:rPr>
          <w:b/>
          <w:bCs/>
        </w:rPr>
        <w:t xml:space="preserve">$220 million</w:t>
      </w:r>
      <w:r>
        <w:t xml:space="preserve">.</w:t>
      </w:r>
    </w:p>
    <w:p>
      <w:pPr>
        <w:pStyle w:val="BodyText"/>
      </w:pPr>
      <w:r>
        <w:t xml:space="preserve">Two nuances matter:</w:t>
      </w:r>
    </w:p>
    <w:p>
      <w:pPr>
        <w:pStyle w:val="Compact"/>
        <w:numPr>
          <w:ilvl w:val="0"/>
          <w:numId w:val="1003"/>
        </w:numPr>
      </w:pPr>
      <w:r>
        <w:rPr>
          <w:b/>
          <w:bCs/>
        </w:rPr>
        <w:t xml:space="preserve">Realized pricing lags spot pricing.</w:t>
      </w:r>
      <w:r>
        <w:t xml:space="preserve"> </w:t>
      </w:r>
      <w:r>
        <w:t xml:space="preserve">FCX sells into both COMEX- and LME-linked arrangements, and concentrate/cathode sales can be provisionally priced.</w:t>
      </w:r>
    </w:p>
    <w:p>
      <w:pPr>
        <w:pStyle w:val="Compact"/>
        <w:numPr>
          <w:ilvl w:val="0"/>
          <w:numId w:val="1003"/>
        </w:numPr>
      </w:pPr>
      <w:r>
        <w:rPr>
          <w:b/>
          <w:bCs/>
        </w:rPr>
        <w:t xml:space="preserve">Higher copper is partly offset by costs.</w:t>
      </w:r>
      <w:r>
        <w:t xml:space="preserve"> </w:t>
      </w:r>
      <w:r>
        <w:t xml:space="preserve">Higher diesel and consumable prices are particularly relevant at the Americas operations and Indonesia.</w:t>
      </w:r>
    </w:p>
    <w:p>
      <w:pPr>
        <w:pStyle w:val="FirstParagraph"/>
      </w:pPr>
      <w:r>
        <w:t xml:space="preserve">Thus, a solid 2Q print driven purely by metal prices may not be enough for a sustained rerating. Investors will want confirmation that copper-price upside is flowing through to free cash flow after inflation and growth capex.</w:t>
      </w:r>
    </w:p>
    <w:bookmarkEnd w:id="16"/>
    <w:bookmarkStart w:id="17" w:name="X85251f3d37f731799374fabe39407ee3c214660"/>
    <w:p>
      <w:pPr>
        <w:pStyle w:val="Heading2"/>
      </w:pPr>
      <w:r>
        <w:t xml:space="preserve">Do not mistake the insurance cash receipt for recurring earnings</w:t>
      </w:r>
    </w:p>
    <w:p>
      <w:pPr>
        <w:pStyle w:val="FirstParagraph"/>
      </w:pPr>
      <w:r>
        <w:t xml:space="preserve">FCX recognized a</w:t>
      </w:r>
      <w:r>
        <w:t xml:space="preserve"> </w:t>
      </w:r>
      <w:r>
        <w:rPr>
          <w:b/>
          <w:bCs/>
        </w:rPr>
        <w:t xml:space="preserve">$700 million insurance settlement</w:t>
      </w:r>
      <w:r>
        <w:t xml:space="preserve"> </w:t>
      </w:r>
      <w:r>
        <w:t xml:space="preserve">tied to the September 2025 Grasberg mud-rush incident in 1Q and expected to receive the cash proceeds in 2Q. That should support reported operating cash flow and liquidity in the quarter, but it is</w:t>
      </w:r>
      <w:r>
        <w:t xml:space="preserve"> </w:t>
      </w:r>
      <w:r>
        <w:rPr>
          <w:b/>
          <w:bCs/>
        </w:rPr>
        <w:t xml:space="preserve">not recurring operating earnings</w:t>
      </w:r>
      <w:r>
        <w:t xml:space="preserve"> </w:t>
      </w:r>
      <w:r>
        <w:t xml:space="preserve">and should not be treated as evidence of a better underlying production run-rate. (</w:t>
      </w:r>
      <w:hyperlink r:id="rId14">
        <w:r>
          <w:rPr>
            <w:rStyle w:val="Hyperlink"/>
          </w:rPr>
          <w:t xml:space="preserve">s22.q4cdn.com</w:t>
        </w:r>
      </w:hyperlink>
      <w:r>
        <w:t xml:space="preserve">)</w:t>
      </w:r>
    </w:p>
    <w:p>
      <w:pPr>
        <w:pStyle w:val="BodyText"/>
      </w:pPr>
      <w:r>
        <w:t xml:space="preserve">The cleaner cash-flow question is whether higher copper prices, Americas performance, and improving Grasberg output can offset:</w:t>
      </w:r>
    </w:p>
    <w:p>
      <w:pPr>
        <w:pStyle w:val="Compact"/>
        <w:numPr>
          <w:ilvl w:val="0"/>
          <w:numId w:val="1004"/>
        </w:numPr>
      </w:pPr>
      <w:r>
        <w:t xml:space="preserve">approximately</w:t>
      </w:r>
      <w:r>
        <w:t xml:space="preserve"> </w:t>
      </w:r>
      <w:r>
        <w:rPr>
          <w:b/>
          <w:bCs/>
        </w:rPr>
        <w:t xml:space="preserve">$4.3 billion</w:t>
      </w:r>
      <w:r>
        <w:t xml:space="preserve"> </w:t>
      </w:r>
      <w:r>
        <w:t xml:space="preserve">of 2026 capital expenditures;</w:t>
      </w:r>
    </w:p>
    <w:p>
      <w:pPr>
        <w:pStyle w:val="Compact"/>
        <w:numPr>
          <w:ilvl w:val="0"/>
          <w:numId w:val="1004"/>
        </w:numPr>
      </w:pPr>
      <w:r>
        <w:t xml:space="preserve">ongoing development spending at Kucing Liar and other growth projects;</w:t>
      </w:r>
    </w:p>
    <w:p>
      <w:pPr>
        <w:pStyle w:val="Compact"/>
        <w:numPr>
          <w:ilvl w:val="0"/>
          <w:numId w:val="1004"/>
        </w:numPr>
      </w:pPr>
      <w:r>
        <w:t xml:space="preserve">higher energy and consumables costs; and</w:t>
      </w:r>
    </w:p>
    <w:p>
      <w:pPr>
        <w:pStyle w:val="Compact"/>
        <w:numPr>
          <w:ilvl w:val="0"/>
          <w:numId w:val="1004"/>
        </w:numPr>
      </w:pPr>
      <w:r>
        <w:t xml:space="preserve">distributions to Indonesian minority interests.</w:t>
      </w:r>
    </w:p>
    <w:bookmarkEnd w:id="17"/>
    <w:bookmarkStart w:id="18" w:name="X7b9492ff9c97a56bb50948d7262d9ed61a773a3"/>
    <w:p>
      <w:pPr>
        <w:pStyle w:val="Heading2"/>
      </w:pPr>
      <w:r>
        <w:t xml:space="preserve">The Americas: important upside, but probably not the day-one catalyst</w:t>
      </w:r>
    </w:p>
    <w:p>
      <w:pPr>
        <w:pStyle w:val="FirstParagraph"/>
      </w:pPr>
      <w:r>
        <w:t xml:space="preserve">FCX’s U.S. leach initiatives and brownfield development pipeline are strategically important:</w:t>
      </w:r>
    </w:p>
    <w:p>
      <w:pPr>
        <w:pStyle w:val="Compact"/>
        <w:numPr>
          <w:ilvl w:val="0"/>
          <w:numId w:val="1005"/>
        </w:numPr>
      </w:pPr>
      <w:r>
        <w:t xml:space="preserve">FCX is targeting approximately</w:t>
      </w:r>
      <w:r>
        <w:t xml:space="preserve"> </w:t>
      </w:r>
      <w:r>
        <w:rPr>
          <w:b/>
          <w:bCs/>
        </w:rPr>
        <w:t xml:space="preserve">300 million lb</w:t>
      </w:r>
      <w:r>
        <w:t xml:space="preserve"> </w:t>
      </w:r>
      <w:r>
        <w:t xml:space="preserve">of incremental copper production from leaching initiatives in 2026;</w:t>
      </w:r>
    </w:p>
    <w:p>
      <w:pPr>
        <w:pStyle w:val="Compact"/>
        <w:numPr>
          <w:ilvl w:val="0"/>
          <w:numId w:val="1005"/>
        </w:numPr>
      </w:pPr>
      <w:r>
        <w:t xml:space="preserve">Management sees a path toward</w:t>
      </w:r>
      <w:r>
        <w:t xml:space="preserve"> </w:t>
      </w:r>
      <w:r>
        <w:rPr>
          <w:b/>
          <w:bCs/>
        </w:rPr>
        <w:t xml:space="preserve">400 million lb annually</w:t>
      </w:r>
      <w:r>
        <w:t xml:space="preserve"> </w:t>
      </w:r>
      <w:r>
        <w:t xml:space="preserve">in the 2026–27 period and ultimately</w:t>
      </w:r>
      <w:r>
        <w:t xml:space="preserve"> </w:t>
      </w:r>
      <w:r>
        <w:rPr>
          <w:b/>
          <w:bCs/>
        </w:rPr>
        <w:t xml:space="preserve">800 million lb</w:t>
      </w:r>
      <w:r>
        <w:t xml:space="preserve">;</w:t>
      </w:r>
    </w:p>
    <w:p>
      <w:pPr>
        <w:pStyle w:val="Compact"/>
        <w:numPr>
          <w:ilvl w:val="0"/>
          <w:numId w:val="1005"/>
        </w:numPr>
      </w:pPr>
      <w:r>
        <w:t xml:space="preserve">The company expects a potential</w:t>
      </w:r>
      <w:r>
        <w:t xml:space="preserve"> </w:t>
      </w:r>
      <w:r>
        <w:rPr>
          <w:b/>
          <w:bCs/>
        </w:rPr>
        <w:t xml:space="preserve">Bagdad expansion investment decision in 2H26</w:t>
      </w:r>
      <w:r>
        <w:t xml:space="preserve">; the conceptual project could add</w:t>
      </w:r>
      <w:r>
        <w:t xml:space="preserve"> </w:t>
      </w:r>
      <w:r>
        <w:rPr>
          <w:b/>
          <w:bCs/>
        </w:rPr>
        <w:t xml:space="preserve">200–250 million lb/year</w:t>
      </w:r>
      <w:r>
        <w:t xml:space="preserve"> </w:t>
      </w:r>
      <w:r>
        <w:t xml:space="preserve">of copper production, with estimated incremental capital of about</w:t>
      </w:r>
      <w:r>
        <w:t xml:space="preserve"> </w:t>
      </w:r>
      <w:r>
        <w:rPr>
          <w:b/>
          <w:bCs/>
        </w:rPr>
        <w:t xml:space="preserve">$3.5 billion</w:t>
      </w:r>
      <w:r>
        <w:t xml:space="preserve">.</w:t>
      </w:r>
    </w:p>
    <w:p>
      <w:pPr>
        <w:pStyle w:val="FirstParagraph"/>
      </w:pPr>
      <w:r>
        <w:t xml:space="preserve">The earnings call should offer updates on additive deployment, heated-leach trials, and the economics/capital estimate for Bagdad. These projects are not likely to determine 2Q results, but stronger technical evidence could reinforce the medium-term production-growth narrative.</w:t>
      </w:r>
    </w:p>
    <w:bookmarkEnd w:id="18"/>
    <w:bookmarkStart w:id="19" w:name="Xb2376669098413e6164b74ad73a564381c6158a"/>
    <w:p>
      <w:pPr>
        <w:pStyle w:val="Heading2"/>
      </w:pPr>
      <w:r>
        <w:t xml:space="preserve">Capital allocation: room for returns, but growth capex comes first</w:t>
      </w:r>
    </w:p>
    <w:p>
      <w:pPr>
        <w:pStyle w:val="FirstParagraph"/>
      </w:pPr>
      <w:r>
        <w:t xml:space="preserve">At March 31, FCX had net debt of</w:t>
      </w:r>
      <w:r>
        <w:t xml:space="preserve"> </w:t>
      </w:r>
      <w:r>
        <w:rPr>
          <w:b/>
          <w:bCs/>
        </w:rPr>
        <w:t xml:space="preserve">$2.4 billion excluding PTFI downstream-processing debt</w:t>
      </w:r>
      <w:r>
        <w:t xml:space="preserve">, below its stated</w:t>
      </w:r>
      <w:r>
        <w:t xml:space="preserve"> </w:t>
      </w:r>
      <m:oMath>
        <m:r>
          <m:t>3</m:t>
        </m:r>
        <m:r>
          <m:rPr>
            <m:sty m:val="p"/>
          </m:rPr>
          <m:t>–</m:t>
        </m:r>
        <m:r>
          <m:t>4</m:t>
        </m:r>
        <m:r>
          <m:t>b</m:t>
        </m:r>
        <m:r>
          <m:t>i</m:t>
        </m:r>
        <m:r>
          <m:t>l</m:t>
        </m:r>
        <m:r>
          <m:t>l</m:t>
        </m:r>
        <m:r>
          <m:t>i</m:t>
        </m:r>
        <m:r>
          <m:t>o</m:t>
        </m:r>
        <m:r>
          <m:t>n</m:t>
        </m:r>
        <m:r>
          <m:t>t</m:t>
        </m:r>
        <m:r>
          <m:t>a</m:t>
        </m:r>
        <m:r>
          <m:t>r</m:t>
        </m:r>
        <m:r>
          <m:t>g</m:t>
        </m:r>
        <m:r>
          <m:t>e</m:t>
        </m:r>
        <m:r>
          <m:t>t</m:t>
        </m:r>
        <m:r>
          <m:t>r</m:t>
        </m:r>
        <m:r>
          <m:t>a</m:t>
        </m:r>
        <m:r>
          <m:t>n</m:t>
        </m:r>
        <m:r>
          <m:t>g</m:t>
        </m:r>
        <m:r>
          <m:t>e</m:t>
        </m:r>
        <m:r>
          <m:rPr>
            <m:sty m:val="p"/>
          </m:rPr>
          <m:t>.</m:t>
        </m:r>
        <m:r>
          <m:t>T</m:t>
        </m:r>
        <m:r>
          <m:t>h</m:t>
        </m:r>
        <m:r>
          <m:t>a</m:t>
        </m:r>
        <m:r>
          <m:t>t</m:t>
        </m:r>
        <m:r>
          <m:t>p</m:t>
        </m:r>
        <m:r>
          <m:t>r</m:t>
        </m:r>
        <m:r>
          <m:t>o</m:t>
        </m:r>
        <m:r>
          <m:t>v</m:t>
        </m:r>
        <m:r>
          <m:t>i</m:t>
        </m:r>
        <m:r>
          <m:t>d</m:t>
        </m:r>
        <m:r>
          <m:t>e</m:t>
        </m:r>
        <m:r>
          <m:t>s</m:t>
        </m:r>
        <m:r>
          <m:t>f</m:t>
        </m:r>
        <m:r>
          <m:t>l</m:t>
        </m:r>
        <m:r>
          <m:t>e</m:t>
        </m:r>
        <m:r>
          <m:t>x</m:t>
        </m:r>
        <m:r>
          <m:t>i</m:t>
        </m:r>
        <m:r>
          <m:t>b</m:t>
        </m:r>
        <m:r>
          <m:t>i</m:t>
        </m:r>
        <m:r>
          <m:t>l</m:t>
        </m:r>
        <m:r>
          <m:t>i</m:t>
        </m:r>
        <m:r>
          <m:t>t</m:t>
        </m:r>
        <m:r>
          <m:t>y</m:t>
        </m:r>
        <m:r>
          <m:t>f</m:t>
        </m:r>
        <m:r>
          <m:t>o</m:t>
        </m:r>
        <m:r>
          <m:t>r</m:t>
        </m:r>
        <m:r>
          <m:t>d</m:t>
        </m:r>
        <m:r>
          <m:t>i</m:t>
        </m:r>
        <m:r>
          <m:t>v</m:t>
        </m:r>
        <m:r>
          <m:t>i</m:t>
        </m:r>
        <m:r>
          <m:t>d</m:t>
        </m:r>
        <m:r>
          <m:t>e</m:t>
        </m:r>
        <m:r>
          <m:t>n</m:t>
        </m:r>
        <m:r>
          <m:t>d</m:t>
        </m:r>
        <m:r>
          <m:t>s</m:t>
        </m:r>
        <m:r>
          <m:rPr>
            <m:sty m:val="p"/>
          </m:rPr>
          <m:t>,</m:t>
        </m:r>
        <m:r>
          <m:t>b</m:t>
        </m:r>
        <m:r>
          <m:t>u</m:t>
        </m:r>
        <m:r>
          <m:t>y</m:t>
        </m:r>
        <m:r>
          <m:t>b</m:t>
        </m:r>
        <m:r>
          <m:t>a</m:t>
        </m:r>
        <m:r>
          <m:t>c</m:t>
        </m:r>
        <m:r>
          <m:t>k</m:t>
        </m:r>
        <m:r>
          <m:t>s</m:t>
        </m:r>
        <m:r>
          <m:rPr>
            <m:sty m:val="p"/>
          </m:rPr>
          <m:t>,</m:t>
        </m:r>
        <m:r>
          <m:t>a</m:t>
        </m:r>
        <m:r>
          <m:t>n</m:t>
        </m:r>
        <m:r>
          <m:t>d</m:t>
        </m:r>
        <m:r>
          <m:t>g</m:t>
        </m:r>
        <m:r>
          <m:t>r</m:t>
        </m:r>
        <m:r>
          <m:t>o</m:t>
        </m:r>
        <m:r>
          <m:t>w</m:t>
        </m:r>
        <m:r>
          <m:t>t</m:t>
        </m:r>
        <m:r>
          <m:t>h</m:t>
        </m:r>
        <m:r>
          <m:t>i</m:t>
        </m:r>
        <m:r>
          <m:t>n</m:t>
        </m:r>
        <m:r>
          <m:t>v</m:t>
        </m:r>
        <m:r>
          <m:t>e</m:t>
        </m:r>
        <m:r>
          <m:t>s</m:t>
        </m:r>
        <m:r>
          <m:t>t</m:t>
        </m:r>
        <m:r>
          <m:t>m</m:t>
        </m:r>
        <m:r>
          <m:t>e</m:t>
        </m:r>
        <m:r>
          <m:t>n</m:t>
        </m:r>
        <m:r>
          <m:t>t</m:t>
        </m:r>
        <m:r>
          <m:rPr>
            <m:sty m:val="p"/>
          </m:rPr>
          <m:t>.</m:t>
        </m:r>
        <m:r>
          <m:t>F</m:t>
        </m:r>
        <m:r>
          <m:t>C</m:t>
        </m:r>
        <m:r>
          <m:t>X</m:t>
        </m:r>
        <m:r>
          <m:t>p</m:t>
        </m:r>
        <m:r>
          <m:t>a</m:t>
        </m:r>
        <m:r>
          <m:t>i</m:t>
        </m:r>
        <m:r>
          <m:t>d</m:t>
        </m:r>
        <m:r>
          <m:t>a</m:t>
        </m:r>
        <m:r>
          <m:t>t</m:t>
        </m:r>
        <m:r>
          <m:t>o</m:t>
        </m:r>
        <m:r>
          <m:t>t</m:t>
        </m:r>
        <m:r>
          <m:t>a</m:t>
        </m:r>
        <m:r>
          <m:t>l</m:t>
        </m:r>
        <m:r>
          <m:t>q</m:t>
        </m:r>
        <m:r>
          <m:t>u</m:t>
        </m:r>
        <m:r>
          <m:t>a</m:t>
        </m:r>
        <m:r>
          <m:t>r</m:t>
        </m:r>
        <m:r>
          <m:t>t</m:t>
        </m:r>
        <m:r>
          <m:t>e</m:t>
        </m:r>
        <m:r>
          <m:t>r</m:t>
        </m:r>
        <m:r>
          <m:t>l</m:t>
        </m:r>
        <m:r>
          <m:t>y</m:t>
        </m:r>
        <m:r>
          <m:t>d</m:t>
        </m:r>
        <m:r>
          <m:t>i</m:t>
        </m:r>
        <m:r>
          <m:t>v</m:t>
        </m:r>
        <m:r>
          <m:t>i</m:t>
        </m:r>
        <m:r>
          <m:t>d</m:t>
        </m:r>
        <m:r>
          <m:t>e</m:t>
        </m:r>
        <m:r>
          <m:t>n</m:t>
        </m:r>
        <m:r>
          <m:t>d</m:t>
        </m:r>
        <m:r>
          <m:t>o</m:t>
        </m:r>
        <m:r>
          <m:t>f</m:t>
        </m:r>
        <m:r>
          <m:rPr>
            <m:sty m:val="p"/>
          </m:rPr>
          <m:t>*</m:t>
        </m:r>
        <m:r>
          <m:rPr>
            <m:sty m:val="p"/>
          </m:rPr>
          <m:t>*</m:t>
        </m:r>
      </m:oMath>
      <w:r>
        <w:t xml:space="preserve">0.15/share** in 1Q—split evenly between base and variable components—and had</w:t>
      </w:r>
      <w:r>
        <w:t xml:space="preserve"> </w:t>
      </w:r>
      <w:r>
        <w:rPr>
          <w:b/>
          <w:bCs/>
        </w:rPr>
        <w:t xml:space="preserve">$2.9 billion</w:t>
      </w:r>
      <w:r>
        <w:t xml:space="preserve"> </w:t>
      </w:r>
      <w:r>
        <w:t xml:space="preserve">remaining under its repurchase authorization as of April 22.</w:t>
      </w:r>
    </w:p>
    <w:p>
      <w:pPr>
        <w:pStyle w:val="BodyText"/>
      </w:pPr>
      <w:r>
        <w:t xml:space="preserve">The practical question is whether cash generation is sufficiently strong for management to maintain or expand shareholder returns while funding Grasberg restoration and its large organic-growth portfolio. A firm dividend/repurchase posture would be constructive; a more cautious tone would likely signal that management is prioritizing execution and capex flexibility.</w:t>
      </w:r>
    </w:p>
    <w:bookmarkEnd w:id="19"/>
    <w:bookmarkStart w:id="23" w:name="X43408aea1add778046ad20bab348419a31c4054"/>
    <w:p>
      <w:pPr>
        <w:pStyle w:val="Heading2"/>
      </w:pPr>
      <w:r>
        <w:t xml:space="preserve">What would constitute a positive versus negative report?</w:t>
      </w:r>
    </w:p>
    <w:bookmarkStart w:id="20" w:name="bullish-outcome"/>
    <w:p>
      <w:pPr>
        <w:pStyle w:val="Heading3"/>
      </w:pPr>
      <w:r>
        <w:t xml:space="preserve">Bullish outcome</w:t>
      </w:r>
    </w:p>
    <w:p>
      <w:pPr>
        <w:pStyle w:val="Compact"/>
        <w:numPr>
          <w:ilvl w:val="0"/>
          <w:numId w:val="1006"/>
        </w:numPr>
      </w:pPr>
      <w:r>
        <w:t xml:space="preserve">Copper/gold sales meet or exceed the</w:t>
      </w:r>
      <w:r>
        <w:t xml:space="preserve"> </w:t>
      </w:r>
      <w:r>
        <w:rPr>
          <w:b/>
          <w:bCs/>
        </w:rPr>
        <w:t xml:space="preserve">690 million lb / 140 thousand oz</w:t>
      </w:r>
      <w:r>
        <w:t xml:space="preserve"> </w:t>
      </w:r>
      <w:r>
        <w:t xml:space="preserve">guide.</w:t>
      </w:r>
    </w:p>
    <w:p>
      <w:pPr>
        <w:pStyle w:val="Compact"/>
        <w:numPr>
          <w:ilvl w:val="0"/>
          <w:numId w:val="1006"/>
        </w:numPr>
      </w:pPr>
      <w:r>
        <w:t xml:space="preserve">Unit net cash cost is at or below</w:t>
      </w:r>
      <w:r>
        <w:t xml:space="preserve"> </w:t>
      </w:r>
      <w:r>
        <w:rPr>
          <w:b/>
          <w:bCs/>
        </w:rPr>
        <w:t xml:space="preserve">$2.24/lb</w:t>
      </w:r>
      <w:r>
        <w:t xml:space="preserve">.</w:t>
      </w:r>
    </w:p>
    <w:p>
      <w:pPr>
        <w:pStyle w:val="Compact"/>
        <w:numPr>
          <w:ilvl w:val="0"/>
          <w:numId w:val="1006"/>
        </w:numPr>
      </w:pPr>
      <w:r>
        <w:t xml:space="preserve">Management holds 2026 volume, cost, capex, and cash-flow guidance.</w:t>
      </w:r>
    </w:p>
    <w:p>
      <w:pPr>
        <w:pStyle w:val="Compact"/>
        <w:numPr>
          <w:ilvl w:val="0"/>
          <w:numId w:val="1006"/>
        </w:numPr>
      </w:pPr>
      <w:r>
        <w:t xml:space="preserve">Grasberg chute-installation progress supports the revised 2H26 ramp.</w:t>
      </w:r>
    </w:p>
    <w:p>
      <w:pPr>
        <w:pStyle w:val="Compact"/>
        <w:numPr>
          <w:ilvl w:val="0"/>
          <w:numId w:val="1006"/>
        </w:numPr>
      </w:pPr>
      <w:r>
        <w:t xml:space="preserve">FCX provides favorable initial results from leach additives/heat trials or greater confidence around a Bagdad decision.</w:t>
      </w:r>
    </w:p>
    <w:bookmarkEnd w:id="20"/>
    <w:bookmarkStart w:id="21" w:name="mixed--likely-neutral-outcome"/>
    <w:p>
      <w:pPr>
        <w:pStyle w:val="Heading3"/>
      </w:pPr>
      <w:r>
        <w:t xml:space="preserve">Mixed / likely neutral outcome</w:t>
      </w:r>
    </w:p>
    <w:p>
      <w:pPr>
        <w:pStyle w:val="Compact"/>
        <w:numPr>
          <w:ilvl w:val="0"/>
          <w:numId w:val="1007"/>
        </w:numPr>
      </w:pPr>
      <w:r>
        <w:t xml:space="preserve">EPS and revenue beat on stronger pricing, but volume and cost performance are merely in line.</w:t>
      </w:r>
    </w:p>
    <w:p>
      <w:pPr>
        <w:pStyle w:val="Compact"/>
        <w:numPr>
          <w:ilvl w:val="0"/>
          <w:numId w:val="1007"/>
        </w:numPr>
      </w:pPr>
      <w:r>
        <w:t xml:space="preserve">Grasberg guidance is maintained, though management remains cautious on near-term variability.</w:t>
      </w:r>
    </w:p>
    <w:p>
      <w:pPr>
        <w:pStyle w:val="Compact"/>
        <w:numPr>
          <w:ilvl w:val="0"/>
          <w:numId w:val="1007"/>
        </w:numPr>
      </w:pPr>
      <w:r>
        <w:t xml:space="preserve">Insurance proceeds boost cash flow, but underlying free-cash-flow conversion is less impressive after capex.</w:t>
      </w:r>
    </w:p>
    <w:bookmarkEnd w:id="21"/>
    <w:bookmarkStart w:id="22" w:name="bearish-outcome"/>
    <w:p>
      <w:pPr>
        <w:pStyle w:val="Heading3"/>
      </w:pPr>
      <w:r>
        <w:t xml:space="preserve">Bearish outcome</w:t>
      </w:r>
    </w:p>
    <w:p>
      <w:pPr>
        <w:pStyle w:val="Compact"/>
        <w:numPr>
          <w:ilvl w:val="0"/>
          <w:numId w:val="1008"/>
        </w:numPr>
      </w:pPr>
      <w:r>
        <w:t xml:space="preserve">Another reduction to Grasberg ramp expectations or full-year copper/gold sales guidance.</w:t>
      </w:r>
    </w:p>
    <w:p>
      <w:pPr>
        <w:pStyle w:val="Compact"/>
        <w:numPr>
          <w:ilvl w:val="0"/>
          <w:numId w:val="1008"/>
        </w:numPr>
      </w:pPr>
      <w:r>
        <w:t xml:space="preserve">Higher-than-guided unit costs from diesel, sulfuric acid, or other consumables.</w:t>
      </w:r>
    </w:p>
    <w:p>
      <w:pPr>
        <w:pStyle w:val="Compact"/>
        <w:numPr>
          <w:ilvl w:val="0"/>
          <w:numId w:val="1008"/>
        </w:numPr>
      </w:pPr>
      <w:r>
        <w:t xml:space="preserve">Evidence that the wet-ore issue requires more time, capital, or operational work than previously outlined.</w:t>
      </w:r>
    </w:p>
    <w:p>
      <w:pPr>
        <w:pStyle w:val="Compact"/>
        <w:numPr>
          <w:ilvl w:val="0"/>
          <w:numId w:val="1008"/>
        </w:numPr>
      </w:pPr>
      <w:r>
        <w:t xml:space="preserve">Reduced willingness to return cash because growth capex and operational uncertainty are absorbing financial flexibility.</w:t>
      </w:r>
    </w:p>
    <w:bookmarkEnd w:id="22"/>
    <w:bookmarkEnd w:id="23"/>
    <w:bookmarkStart w:id="24" w:name="investor-takeaway"/>
    <w:p>
      <w:pPr>
        <w:pStyle w:val="Heading2"/>
      </w:pPr>
      <w:r>
        <w:t xml:space="preserve">Investor takeaway</w:t>
      </w:r>
    </w:p>
    <w:p>
      <w:pPr>
        <w:pStyle w:val="FirstParagraph"/>
      </w:pPr>
      <w:r>
        <w:t xml:space="preserve">FCX enters 2Q with a supportive copper-price backdrop and a balance sheet capable of funding both growth and shareholder returns. However, the market already understands the copper bull case. The report’s real test is whether management can convert that price environment into credible volume recovery and cash-flow visibility.</w:t>
      </w:r>
    </w:p>
    <w:p>
      <w:pPr>
        <w:pStyle w:val="BodyText"/>
      </w:pPr>
      <w:r>
        <w:rPr>
          <w:b/>
          <w:bCs/>
        </w:rPr>
        <w:t xml:space="preserve">The most important line to watch is not EPS—it is the confidence level around Grasberg’s 2H26 throughput trajectory and the absence of another guide reset.</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4" Target="https://s22.q4cdn.com/529358580/files/doc_financials/10-Q/FCX-Q126-10-Q.pdf" TargetMode="External" /><Relationship Type="http://schemas.openxmlformats.org/officeDocument/2006/relationships/hyperlink" Id="rId9" Target="https://www.fcx.com/" TargetMode="External" /><Relationship Type="http://schemas.openxmlformats.org/officeDocument/2006/relationships/hyperlink" Id="rId11" Target="https://www.tipranks.com/stocks/fcx/earnings?utm_source=openai" TargetMode="External" /><Relationship Type="http://schemas.openxmlformats.org/officeDocument/2006/relationships/hyperlink" Id="rId10" Target="https://www.westmetall.com/en/markdaten.php/en/home.html?action=table&amp;field=LME_Cu_cash" TargetMode="External" /></Relationships>
</file>

<file path=word/_rels/footnotes.xml.rels><?xml version="1.0" encoding="UTF-8"?><Relationships xmlns="http://schemas.openxmlformats.org/package/2006/relationships"><Relationship Type="http://schemas.openxmlformats.org/officeDocument/2006/relationships/hyperlink" Id="rId14" Target="https://s22.q4cdn.com/529358580/files/doc_financials/10-Q/FCX-Q126-10-Q.pdf" TargetMode="External" /><Relationship Type="http://schemas.openxmlformats.org/officeDocument/2006/relationships/hyperlink" Id="rId9" Target="https://www.fcx.com/" TargetMode="External" /><Relationship Type="http://schemas.openxmlformats.org/officeDocument/2006/relationships/hyperlink" Id="rId11" Target="https://www.tipranks.com/stocks/fcx/earnings?utm_source=openai" TargetMode="External" /><Relationship Type="http://schemas.openxmlformats.org/officeDocument/2006/relationships/hyperlink" Id="rId10" Target="https://www.westmetall.com/en/markdaten.php/en/home.html?action=table&amp;field=LME_Cu_cash"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2026-07-23T00:50:14Z</dcterms:created>
  <dcterms:modified xsi:type="dcterms:W3CDTF">2026-07-23T00:50:14Z</dcterms:modified>
</cp:coreProperties>
</file>

<file path=docProps/custom.xml><?xml version="1.0" encoding="utf-8"?>
<Properties xmlns="http://schemas.openxmlformats.org/officeDocument/2006/custom-properties" xmlns:vt="http://schemas.openxmlformats.org/officeDocument/2006/docPropsVTypes"/>
</file>