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Freeport-McMoRan Inc. (FCX)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Freeport-McMoRan Inc. (FCX)</w:t>
            </w:r>
          </w:p>
        </w:tc>
      </w:tr>
      <w:tr>
        <w:tc>
          <w:tcPr>
            <w:tcW w:type="dxa" w:w="4320"/>
          </w:tcPr>
          <w:p>
            <w:r>
              <w:rPr>
                <w:rFonts w:ascii="Calibri" w:hAnsi="Calibri"/>
                <w:b/>
                <w:sz w:val="22"/>
              </w:rPr>
              <w:t>Upcoming Earnings</w:t>
            </w:r>
          </w:p>
        </w:tc>
        <w:tc>
          <w:tcPr>
            <w:tcW w:type="dxa" w:w="4320"/>
          </w:tcPr>
          <w:p>
            <w:r>
              <w:rPr>
                <w:rFonts w:ascii="Calibri" w:hAnsi="Calibri"/>
                <w:sz w:val="22"/>
              </w:rPr>
              <w:t>Q2 2026 — July 22,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COPX — Global X Copper Miners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is mixed — consensus is a moderate bar after post-Q1 estimate cuts, but the stock has already partially recovered from the Grasberg shock, meaning the real test is whether management can show </w:t>
      </w:r>
      <w:r>
        <w:rPr>
          <w:rFonts w:ascii="Calibri" w:hAnsi="Calibri"/>
          <w:b/>
          <w:color w:val="525866"/>
          <w:sz w:val="22"/>
        </w:rPr>
        <w:t>Grasberg ramp progress</w:t>
      </w:r>
      <w:r>
        <w:rPr>
          <w:rFonts w:ascii="Calibri" w:hAnsi="Calibri"/>
          <w:b/>
          <w:color w:val="525866"/>
          <w:sz w:val="22"/>
        </w:rPr>
        <w:t xml:space="preserve"> and </w:t>
      </w:r>
      <w:r>
        <w:rPr>
          <w:rFonts w:ascii="Calibri" w:hAnsi="Calibri"/>
          <w:b/>
          <w:color w:val="525866"/>
          <w:sz w:val="22"/>
        </w:rPr>
        <w:t>leach momentum</w:t>
      </w:r>
      <w:r>
        <w:rPr>
          <w:rFonts w:ascii="Calibri" w:hAnsi="Calibri"/>
          <w:b/>
          <w:color w:val="525866"/>
          <w:sz w:val="22"/>
        </w:rPr>
        <w:t xml:space="preserve"> rather than just beating a lowered number.</w:t>
      </w:r>
    </w:p>
    <w:p>
      <w:r>
        <w:rPr>
          <w:rFonts w:ascii="Calibri" w:hAnsi="Calibri"/>
          <w:color w:val="525866"/>
          <w:sz w:val="22"/>
        </w:rPr>
        <w:t xml:space="preserve">FCX heads into Q2 2026 earnings with a reset bar following the dramatic Q1 guidance cut — consensus EPS of </w:t>
      </w:r>
      <w:r>
        <w:rPr>
          <w:rFonts w:ascii="Calibri" w:hAnsi="Calibri"/>
          <w:b/>
          <w:color w:val="525866"/>
          <w:sz w:val="22"/>
        </w:rPr>
        <w:t>$0.59</w:t>
      </w:r>
      <w:r>
        <w:rPr>
          <w:rFonts w:ascii="Calibri" w:hAnsi="Calibri"/>
          <w:color w:val="525866"/>
          <w:sz w:val="22"/>
        </w:rPr>
        <w:t xml:space="preserve"> and revenue of </w:t>
      </w:r>
      <w:r>
        <w:rPr>
          <w:rFonts w:ascii="Calibri" w:hAnsi="Calibri"/>
          <w:b/>
          <w:color w:val="525866"/>
          <w:sz w:val="22"/>
        </w:rPr>
        <w:t>~$6.7B</w:t>
      </w:r>
      <w:r>
        <w:rPr>
          <w:rFonts w:ascii="Calibri" w:hAnsi="Calibri"/>
          <w:color w:val="525866"/>
          <w:sz w:val="22"/>
        </w:rPr>
        <w:t xml:space="preserve"> reflect a post-Grasberg-shock recalibration, and the stock’s ~5.7% gain since the Q1 print (vs. SPY +5.5%) suggests the market has largely digested the operational setback. Management guided for </w:t>
      </w:r>
      <w:r>
        <w:rPr>
          <w:rFonts w:ascii="Calibri" w:hAnsi="Calibri"/>
          <w:b/>
          <w:color w:val="525866"/>
          <w:sz w:val="22"/>
        </w:rPr>
        <w:t>2H 2026 copper volumes ~30% higher and gold ~50% higher than 1H</w:t>
      </w:r>
      <w:r>
        <w:rPr>
          <w:rFonts w:ascii="Calibri" w:hAnsi="Calibri"/>
          <w:color w:val="525866"/>
          <w:sz w:val="22"/>
        </w:rPr>
        <w:t xml:space="preserve">, implying a meaningful sequential ramp in Q2 that consensus is pricing in; the key question is whether Grasberg’s material handling bottleneck resolution is tracking to the mid-2027 timeline or slipping. Unit net cash costs guided at </w:t>
      </w:r>
      <w:r>
        <w:rPr>
          <w:rFonts w:ascii="Calibri" w:hAnsi="Calibri"/>
          <w:b/>
          <w:color w:val="525866"/>
          <w:sz w:val="22"/>
        </w:rPr>
        <w:t>~$1.95/lb for FY2026</w:t>
      </w:r>
      <w:r>
        <w:rPr>
          <w:rFonts w:ascii="Calibri" w:hAnsi="Calibri"/>
          <w:color w:val="525866"/>
          <w:sz w:val="22"/>
        </w:rPr>
        <w:t xml:space="preserve"> (up from $1.75/lb prior) face additional pressure from diesel and sulfuric acid inflation tied to the Middle East conflict, and any cost upside surprise could overshadow volume beats. The stock trades near its post-Q1 recovery high, with the </w:t>
      </w:r>
      <w:r>
        <w:rPr>
          <w:rFonts w:ascii="Calibri" w:hAnsi="Calibri"/>
          <w:b/>
          <w:color w:val="525866"/>
          <w:sz w:val="22"/>
        </w:rPr>
        <w:t>Section 232 copper tariff</w:t>
      </w:r>
      <w:r>
        <w:rPr>
          <w:rFonts w:ascii="Calibri" w:hAnsi="Calibri"/>
          <w:color w:val="525866"/>
          <w:sz w:val="22"/>
        </w:rPr>
        <w:t xml:space="preserve"> (50% on imports, effective August 2025, further modified April/June 2026) providing a structural tailwind for U.S. domestic copper pricing that management has yet to fully quantify in guidance. The wildcard is the </w:t>
      </w:r>
      <w:r>
        <w:rPr>
          <w:rFonts w:ascii="Calibri" w:hAnsi="Calibri"/>
          <w:b/>
          <w:color w:val="525866"/>
          <w:sz w:val="22"/>
        </w:rPr>
        <w:t>leach initiative</w:t>
      </w:r>
      <w:r>
        <w:rPr>
          <w:rFonts w:ascii="Calibri" w:hAnsi="Calibri"/>
          <w:color w:val="525866"/>
          <w:sz w:val="22"/>
        </w:rPr>
        <w:t xml:space="preserve"> — any update showing the additive+heat combination is scaling toward the 300–400M lb/year target would be a meaningful positive catalyst that the market is not fully pricing in.</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Factor</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b/>
                <w:sz w:val="22"/>
              </w:rPr>
              <w:t>Bar</w:t>
            </w:r>
          </w:p>
        </w:tc>
        <w:tc>
          <w:tcPr>
            <w:tcW w:type="dxa" w:w="4320"/>
          </w:tcPr>
          <w:p>
            <w:r>
              <w:rPr>
                <w:rFonts w:ascii="Calibri" w:hAnsi="Calibri"/>
                <w:sz w:val="22"/>
              </w:rPr>
              <w:t>Moderate — estimates were cut materially post-Q1 (EPS baseline $0.47 pre-Q1 vs. current $0.59 for Q2), but the stock has recovered, suggesting the bar is not as low as it appears.</w:t>
            </w:r>
          </w:p>
        </w:tc>
      </w:tr>
      <w:tr>
        <w:tc>
          <w:tcPr>
            <w:tcW w:type="dxa" w:w="4320"/>
          </w:tcPr>
          <w:p>
            <w:r>
              <w:rPr>
                <w:rFonts w:ascii="Calibri" w:hAnsi="Calibri"/>
                <w:b/>
                <w:sz w:val="22"/>
              </w:rPr>
              <w:t>Guidance / Tone</w:t>
            </w:r>
          </w:p>
        </w:tc>
        <w:tc>
          <w:tcPr>
            <w:tcW w:type="dxa" w:w="4320"/>
          </w:tcPr>
          <w:p>
            <w:r>
              <w:rPr>
                <w:rFonts w:ascii="Calibri" w:hAnsi="Calibri"/>
                <w:sz w:val="22"/>
              </w:rPr>
              <w:t>Problem-solving and transparent at Q1; BofA May 2026 conference maintained that framing with specific capacity milestones (60–65% in 2H 2026, ~80% by mid-2027, full by end-2027).</w:t>
            </w:r>
          </w:p>
        </w:tc>
      </w:tr>
      <w:tr>
        <w:tc>
          <w:tcPr>
            <w:tcW w:type="dxa" w:w="4320"/>
          </w:tcPr>
          <w:p>
            <w:r>
              <w:rPr>
                <w:rFonts w:ascii="Calibri" w:hAnsi="Calibri"/>
                <w:b/>
                <w:sz w:val="22"/>
              </w:rPr>
              <w:t>Estimate Trajectory</w:t>
            </w:r>
          </w:p>
        </w:tc>
        <w:tc>
          <w:tcPr>
            <w:tcW w:type="dxa" w:w="4320"/>
          </w:tcPr>
          <w:p>
            <w:r>
              <w:rPr>
                <w:rFonts w:ascii="Calibri" w:hAnsi="Calibri"/>
                <w:sz w:val="22"/>
              </w:rPr>
              <w:t>Estimates for Q2 2026 rose from $0.53 (as of Apr 28, 2026) to $0.59 currently — a rising bar heading in, likely driven by copper price appreciation.</w:t>
            </w:r>
          </w:p>
        </w:tc>
      </w:tr>
      <w:tr>
        <w:tc>
          <w:tcPr>
            <w:tcW w:type="dxa" w:w="4320"/>
          </w:tcPr>
          <w:p>
            <w:r>
              <w:rPr>
                <w:rFonts w:ascii="Calibri" w:hAnsi="Calibri"/>
                <w:b/>
                <w:sz w:val="22"/>
              </w:rPr>
              <w:t>Stock Setup</w:t>
            </w:r>
          </w:p>
        </w:tc>
        <w:tc>
          <w:tcPr>
            <w:tcW w:type="dxa" w:w="4320"/>
          </w:tcPr>
          <w:p>
            <w:r>
              <w:rPr>
                <w:rFonts w:ascii="Calibri" w:hAnsi="Calibri"/>
                <w:sz w:val="22"/>
              </w:rPr>
              <w:t>FCX +5.7% since Q1 earnings vs. SPY +5.5%, but COPX (copper miners ETF) -3.0% over the same period — FCX has significantly outperformed copper mining peers, leaving less room for disappointment.</w:t>
            </w:r>
          </w:p>
        </w:tc>
      </w:tr>
      <w:tr>
        <w:tc>
          <w:tcPr>
            <w:tcW w:type="dxa" w:w="4320"/>
          </w:tcPr>
          <w:p>
            <w:r>
              <w:rPr>
                <w:rFonts w:ascii="Calibri" w:hAnsi="Calibri"/>
                <w:b/>
                <w:sz w:val="22"/>
              </w:rPr>
              <w:t>Wildcard</w:t>
            </w:r>
          </w:p>
        </w:tc>
        <w:tc>
          <w:tcPr>
            <w:tcW w:type="dxa" w:w="4320"/>
          </w:tcPr>
          <w:p>
            <w:r>
              <w:rPr>
                <w:rFonts w:ascii="Calibri" w:hAnsi="Calibri"/>
                <w:sz w:val="22"/>
              </w:rPr>
              <w:t>Leach initiative progress (additive + heat combination scaling toward 300–400M lb/yr) and any update on the Bagdad expansion investment decision (expected mid-2026) could be meaningful positive catalysts.</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Copper sales volume is the primary swing factor — consensus expects ~691M lbs in Q2 vs. 657M lbs actual in Q1, implying a meaningful sequential ramp that management guided for. </w:t>
      </w:r>
      <w:r>
        <w:rPr>
          <w:rFonts w:ascii="Calibri" w:hAnsi="Calibri"/>
          <w:b/>
          <w:color w:val="525866"/>
          <w:sz w:val="22"/>
        </w:rPr>
        <w:t>Unit net cash costs are the secondary risk — any upside surprise from diesel/sulfuric acid inflation could offset volume beats.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w:t>
            </w:r>
          </w:p>
        </w:tc>
        <w:tc>
          <w:tcPr>
            <w:tcW w:type="dxa" w:w="1234"/>
          </w:tcPr>
          <w:p>
            <w:r>
              <w:rPr>
                <w:rFonts w:ascii="Calibri" w:hAnsi="Calibri"/>
                <w:sz w:val="22"/>
              </w:rPr>
              <w:t>$6.23B</w:t>
            </w:r>
          </w:p>
        </w:tc>
        <w:tc>
          <w:tcPr>
            <w:tcW w:type="dxa" w:w="1234"/>
          </w:tcPr>
          <w:p>
            <w:r>
              <w:rPr>
                <w:rFonts w:ascii="Calibri" w:hAnsi="Calibri"/>
                <w:sz w:val="22"/>
              </w:rPr>
              <w:t>$7.58B</w:t>
            </w:r>
          </w:p>
        </w:tc>
        <w:tc>
          <w:tcPr>
            <w:tcW w:type="dxa" w:w="1234"/>
          </w:tcPr>
          <w:p>
            <w:r>
              <w:rPr>
                <w:rFonts w:ascii="Calibri" w:hAnsi="Calibri"/>
                <w:sz w:val="22"/>
              </w:rPr>
              <w:t>$6.72B</w:t>
            </w:r>
          </w:p>
        </w:tc>
        <w:tc>
          <w:tcPr>
            <w:tcW w:type="dxa" w:w="1234"/>
          </w:tcPr>
          <w:p>
            <w:r>
              <w:rPr>
                <w:rFonts w:ascii="Calibri" w:hAnsi="Calibri"/>
                <w:b/>
                <w:color w:val="E5484D"/>
                <w:sz w:val="22"/>
              </w:rPr>
              <w:t>-11.4%</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Adj. EPS (Diluted Operating)</w:t>
            </w:r>
          </w:p>
        </w:tc>
        <w:tc>
          <w:tcPr>
            <w:tcW w:type="dxa" w:w="1234"/>
          </w:tcPr>
          <w:p>
            <w:r>
              <w:rPr>
                <w:rFonts w:ascii="Calibri" w:hAnsi="Calibri"/>
                <w:sz w:val="22"/>
              </w:rPr>
              <w:t>$0.57</w:t>
            </w:r>
          </w:p>
        </w:tc>
        <w:tc>
          <w:tcPr>
            <w:tcW w:type="dxa" w:w="1234"/>
          </w:tcPr>
          <w:p>
            <w:r>
              <w:rPr>
                <w:rFonts w:ascii="Calibri" w:hAnsi="Calibri"/>
                <w:sz w:val="22"/>
              </w:rPr>
              <w:t>$0.55</w:t>
            </w:r>
          </w:p>
        </w:tc>
        <w:tc>
          <w:tcPr>
            <w:tcW w:type="dxa" w:w="1234"/>
          </w:tcPr>
          <w:p>
            <w:r>
              <w:rPr>
                <w:rFonts w:ascii="Calibri" w:hAnsi="Calibri"/>
                <w:sz w:val="22"/>
              </w:rPr>
              <w:t>$0.59</w:t>
            </w:r>
          </w:p>
        </w:tc>
        <w:tc>
          <w:tcPr>
            <w:tcW w:type="dxa" w:w="1234"/>
          </w:tcPr>
          <w:p>
            <w:r>
              <w:rPr>
                <w:rFonts w:ascii="Calibri" w:hAnsi="Calibri"/>
                <w:b/>
                <w:color w:val="30A46C"/>
                <w:sz w:val="22"/>
              </w:rPr>
              <w:t>+7.3%</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Copper Sales Volume (Mlbs)</w:t>
            </w:r>
          </w:p>
        </w:tc>
        <w:tc>
          <w:tcPr>
            <w:tcW w:type="dxa" w:w="1234"/>
          </w:tcPr>
          <w:p>
            <w:r>
              <w:rPr>
                <w:rFonts w:ascii="Calibri" w:hAnsi="Calibri"/>
                <w:sz w:val="22"/>
              </w:rPr>
              <w:t>657</w:t>
            </w:r>
          </w:p>
        </w:tc>
        <w:tc>
          <w:tcPr>
            <w:tcW w:type="dxa" w:w="1234"/>
          </w:tcPr>
          <w:p>
            <w:r>
              <w:rPr>
                <w:rFonts w:ascii="Calibri" w:hAnsi="Calibri"/>
                <w:sz w:val="22"/>
              </w:rPr>
              <w:t>1,016</w:t>
            </w:r>
          </w:p>
        </w:tc>
        <w:tc>
          <w:tcPr>
            <w:tcW w:type="dxa" w:w="1234"/>
          </w:tcPr>
          <w:p>
            <w:r>
              <w:rPr>
                <w:rFonts w:ascii="Calibri" w:hAnsi="Calibri"/>
                <w:sz w:val="22"/>
              </w:rPr>
              <w:t>691</w:t>
            </w:r>
          </w:p>
        </w:tc>
        <w:tc>
          <w:tcPr>
            <w:tcW w:type="dxa" w:w="1234"/>
          </w:tcPr>
          <w:p>
            <w:r>
              <w:rPr>
                <w:rFonts w:ascii="Calibri" w:hAnsi="Calibri"/>
                <w:b/>
                <w:color w:val="E5484D"/>
                <w:sz w:val="22"/>
              </w:rPr>
              <w:t>-32.0%</w:t>
            </w:r>
          </w:p>
        </w:tc>
        <w:tc>
          <w:tcPr>
            <w:tcW w:type="dxa" w:w="1234"/>
          </w:tcPr>
          <w:p>
            <w:r>
              <w:rPr>
                <w:rFonts w:ascii="Calibri" w:hAnsi="Calibri"/>
                <w:sz w:val="22"/>
              </w:rPr>
              <w:t>2H ~30% &gt; 1H (implies ~700–750M lbs/qtr)</w:t>
            </w:r>
          </w:p>
        </w:tc>
        <w:tc>
          <w:tcPr>
            <w:tcW w:type="dxa" w:w="1234"/>
          </w:tcPr>
          <w:p>
            <w:r>
              <w:rPr>
                <w:rFonts w:ascii="Calibri" w:hAnsi="Calibri"/>
                <w:sz w:val="22"/>
              </w:rPr>
              <w:t>~2% below guide midpoint</w:t>
            </w:r>
          </w:p>
        </w:tc>
      </w:tr>
      <w:tr>
        <w:tc>
          <w:tcPr>
            <w:tcW w:type="dxa" w:w="1234"/>
          </w:tcPr>
          <w:p>
            <w:r>
              <w:rPr>
                <w:rFonts w:ascii="Calibri" w:hAnsi="Calibri"/>
                <w:sz w:val="22"/>
              </w:rPr>
              <w:t>Gold Sales Volume (Kozt)</w:t>
            </w:r>
          </w:p>
        </w:tc>
        <w:tc>
          <w:tcPr>
            <w:tcW w:type="dxa" w:w="1234"/>
          </w:tcPr>
          <w:p>
            <w:r>
              <w:rPr>
                <w:rFonts w:ascii="Calibri" w:hAnsi="Calibri"/>
                <w:sz w:val="22"/>
              </w:rPr>
              <w:t>121</w:t>
            </w:r>
          </w:p>
        </w:tc>
        <w:tc>
          <w:tcPr>
            <w:tcW w:type="dxa" w:w="1234"/>
          </w:tcPr>
          <w:p>
            <w:r>
              <w:rPr>
                <w:rFonts w:ascii="Calibri" w:hAnsi="Calibri"/>
                <w:sz w:val="22"/>
              </w:rPr>
              <w:t>522</w:t>
            </w:r>
          </w:p>
        </w:tc>
        <w:tc>
          <w:tcPr>
            <w:tcW w:type="dxa" w:w="1234"/>
          </w:tcPr>
          <w:p>
            <w:r>
              <w:rPr>
                <w:rFonts w:ascii="Calibri" w:hAnsi="Calibri"/>
                <w:sz w:val="22"/>
              </w:rPr>
              <w:t>141</w:t>
            </w:r>
          </w:p>
        </w:tc>
        <w:tc>
          <w:tcPr>
            <w:tcW w:type="dxa" w:w="1234"/>
          </w:tcPr>
          <w:p>
            <w:r>
              <w:rPr>
                <w:rFonts w:ascii="Calibri" w:hAnsi="Calibri"/>
                <w:b/>
                <w:color w:val="E5484D"/>
                <w:sz w:val="22"/>
              </w:rPr>
              <w:t>-73.0%</w:t>
            </w:r>
          </w:p>
        </w:tc>
        <w:tc>
          <w:tcPr>
            <w:tcW w:type="dxa" w:w="1234"/>
          </w:tcPr>
          <w:p>
            <w:r>
              <w:rPr>
                <w:rFonts w:ascii="Calibri" w:hAnsi="Calibri"/>
                <w:sz w:val="22"/>
              </w:rPr>
              <w:t>2H ~50% &gt; 1H (implies ~150–175 Kozt/qtr)</w:t>
            </w:r>
          </w:p>
        </w:tc>
        <w:tc>
          <w:tcPr>
            <w:tcW w:type="dxa" w:w="1234"/>
          </w:tcPr>
          <w:p>
            <w:r>
              <w:rPr>
                <w:rFonts w:ascii="Calibri" w:hAnsi="Calibri"/>
                <w:sz w:val="22"/>
              </w:rPr>
              <w:t>~7% below guide midpoint</w:t>
            </w:r>
          </w:p>
        </w:tc>
      </w:tr>
      <w:tr>
        <w:tc>
          <w:tcPr>
            <w:tcW w:type="dxa" w:w="1234"/>
          </w:tcPr>
          <w:p>
            <w:r>
              <w:rPr>
                <w:rFonts w:ascii="Calibri" w:hAnsi="Calibri"/>
                <w:sz w:val="22"/>
              </w:rPr>
              <w:t>Unit Net Cash Cost ($/lb Cu)</w:t>
            </w:r>
          </w:p>
        </w:tc>
        <w:tc>
          <w:tcPr>
            <w:tcW w:type="dxa" w:w="1234"/>
          </w:tcPr>
          <w:p>
            <w:r>
              <w:rPr>
                <w:rFonts w:ascii="Calibri" w:hAnsi="Calibri"/>
                <w:sz w:val="22"/>
              </w:rPr>
              <w:t>$1.91</w:t>
            </w:r>
          </w:p>
        </w:tc>
        <w:tc>
          <w:tcPr>
            <w:tcW w:type="dxa" w:w="1234"/>
          </w:tcPr>
          <w:p>
            <w:r>
              <w:rPr>
                <w:rFonts w:ascii="Calibri" w:hAnsi="Calibri"/>
                <w:sz w:val="22"/>
              </w:rPr>
              <w:t>$1.13</w:t>
            </w:r>
          </w:p>
        </w:tc>
        <w:tc>
          <w:tcPr>
            <w:tcW w:type="dxa" w:w="1234"/>
          </w:tcPr>
          <w:p>
            <w:r>
              <w:rPr>
                <w:rFonts w:ascii="Calibri" w:hAnsi="Calibri"/>
                <w:sz w:val="22"/>
              </w:rPr>
              <w:t>$2.09</w:t>
            </w:r>
          </w:p>
        </w:tc>
        <w:tc>
          <w:tcPr>
            <w:tcW w:type="dxa" w:w="1234"/>
          </w:tcPr>
          <w:p>
            <w:r>
              <w:rPr>
                <w:rFonts w:ascii="Calibri" w:hAnsi="Calibri"/>
                <w:b/>
                <w:color w:val="E5484D"/>
                <w:sz w:val="22"/>
              </w:rPr>
              <w:t>+84.9%</w:t>
            </w:r>
          </w:p>
        </w:tc>
        <w:tc>
          <w:tcPr>
            <w:tcW w:type="dxa" w:w="1234"/>
          </w:tcPr>
          <w:p>
            <w:r>
              <w:rPr>
                <w:rFonts w:ascii="Calibri" w:hAnsi="Calibri"/>
                <w:sz w:val="22"/>
              </w:rPr>
              <w:t>~$1.95/lb FY avg</w:t>
            </w:r>
          </w:p>
        </w:tc>
        <w:tc>
          <w:tcPr>
            <w:tcW w:type="dxa" w:w="1234"/>
          </w:tcPr>
          <w:p>
            <w:r>
              <w:rPr>
                <w:rFonts w:ascii="Calibri" w:hAnsi="Calibri"/>
                <w:sz w:val="22"/>
              </w:rPr>
              <w:t>+7% above FY guide</w:t>
            </w:r>
          </w:p>
        </w:tc>
      </w:tr>
      <w:tr>
        <w:tc>
          <w:tcPr>
            <w:tcW w:type="dxa" w:w="1234"/>
          </w:tcPr>
          <w:p>
            <w:r>
              <w:rPr>
                <w:rFonts w:ascii="Calibri" w:hAnsi="Calibri"/>
                <w:sz w:val="22"/>
              </w:rPr>
              <w:t>EBITDA</w:t>
            </w:r>
          </w:p>
        </w:tc>
        <w:tc>
          <w:tcPr>
            <w:tcW w:type="dxa" w:w="1234"/>
          </w:tcPr>
          <w:p>
            <w:r>
              <w:rPr>
                <w:rFonts w:ascii="Calibri" w:hAnsi="Calibri"/>
                <w:sz w:val="22"/>
              </w:rPr>
              <w:t>$2.67B</w:t>
            </w:r>
          </w:p>
        </w:tc>
        <w:tc>
          <w:tcPr>
            <w:tcW w:type="dxa" w:w="1234"/>
          </w:tcPr>
          <w:p>
            <w:r>
              <w:rPr>
                <w:rFonts w:ascii="Calibri" w:hAnsi="Calibri"/>
                <w:sz w:val="22"/>
              </w:rPr>
              <w:t>$3.15B</w:t>
            </w:r>
          </w:p>
        </w:tc>
        <w:tc>
          <w:tcPr>
            <w:tcW w:type="dxa" w:w="1234"/>
          </w:tcPr>
          <w:p>
            <w:r>
              <w:rPr>
                <w:rFonts w:ascii="Calibri" w:hAnsi="Calibri"/>
                <w:sz w:val="22"/>
              </w:rPr>
              <w:t>$2.41B</w:t>
            </w:r>
          </w:p>
        </w:tc>
        <w:tc>
          <w:tcPr>
            <w:tcW w:type="dxa" w:w="1234"/>
          </w:tcPr>
          <w:p>
            <w:r>
              <w:rPr>
                <w:rFonts w:ascii="Calibri" w:hAnsi="Calibri"/>
                <w:b/>
                <w:color w:val="E5484D"/>
                <w:sz w:val="22"/>
              </w:rPr>
              <w:t>-23.5%</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Total CapEx</w:t>
            </w:r>
          </w:p>
        </w:tc>
        <w:tc>
          <w:tcPr>
            <w:tcW w:type="dxa" w:w="1234"/>
          </w:tcPr>
          <w:p>
            <w:r>
              <w:rPr>
                <w:rFonts w:ascii="Calibri" w:hAnsi="Calibri"/>
                <w:sz w:val="22"/>
              </w:rPr>
              <w:t>$0.97B</w:t>
            </w:r>
          </w:p>
        </w:tc>
        <w:tc>
          <w:tcPr>
            <w:tcW w:type="dxa" w:w="1234"/>
          </w:tcPr>
          <w:p>
            <w:r>
              <w:rPr>
                <w:rFonts w:ascii="Calibri" w:hAnsi="Calibri"/>
                <w:sz w:val="22"/>
              </w:rPr>
              <w:t>$1.26B</w:t>
            </w:r>
          </w:p>
        </w:tc>
        <w:tc>
          <w:tcPr>
            <w:tcW w:type="dxa" w:w="1234"/>
          </w:tcPr>
          <w:p>
            <w:r>
              <w:rPr>
                <w:rFonts w:ascii="Calibri" w:hAnsi="Calibri"/>
                <w:sz w:val="22"/>
              </w:rPr>
              <w:t>$1.09B</w:t>
            </w:r>
          </w:p>
        </w:tc>
        <w:tc>
          <w:tcPr>
            <w:tcW w:type="dxa" w:w="1234"/>
          </w:tcPr>
          <w:p>
            <w:r>
              <w:rPr>
                <w:rFonts w:ascii="Calibri" w:hAnsi="Calibri"/>
                <w:b/>
                <w:color w:val="30A46C"/>
                <w:sz w:val="22"/>
              </w:rPr>
              <w:t>-13.5%</w:t>
            </w:r>
          </w:p>
        </w:tc>
        <w:tc>
          <w:tcPr>
            <w:tcW w:type="dxa" w:w="1234"/>
          </w:tcPr>
          <w:p>
            <w:r>
              <w:rPr>
                <w:rFonts w:ascii="Calibri" w:hAnsi="Calibri"/>
                <w:sz w:val="22"/>
              </w:rPr>
              <w:t>~$4.3B FY 2026</w:t>
            </w:r>
          </w:p>
        </w:tc>
        <w:tc>
          <w:tcPr>
            <w:tcW w:type="dxa" w:w="1234"/>
          </w:tcPr>
          <w:p>
            <w:r>
              <w:rPr>
                <w:rFonts w:ascii="Calibri" w:hAnsi="Calibri"/>
                <w:sz w:val="22"/>
              </w:rPr>
              <w:t>On track</w:t>
            </w:r>
          </w:p>
        </w:tc>
      </w:tr>
    </w:tbl>
    <w:p>
      <w:r>
        <w:rPr>
          <w:rFonts w:ascii="Calibri" w:hAnsi="Calibri"/>
          <w:i/>
          <w:color w:val="525866"/>
          <w:sz w:val="22"/>
        </w:rPr>
        <w:t>Source: Visible Alpha consensus and actuals data. Q2 2026 consensus as of July 22,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Copper Sales Volume (Mlbs)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931</w:t>
            </w:r>
          </w:p>
        </w:tc>
        <w:tc>
          <w:tcPr>
            <w:tcW w:type="dxa" w:w="1728"/>
          </w:tcPr>
          <w:p>
            <w:r>
              <w:rPr>
                <w:rFonts w:ascii="Calibri" w:hAnsi="Calibri"/>
                <w:sz w:val="22"/>
              </w:rPr>
              <w:t>939</w:t>
            </w:r>
          </w:p>
        </w:tc>
        <w:tc>
          <w:tcPr>
            <w:tcW w:type="dxa" w:w="1728"/>
          </w:tcPr>
          <w:p>
            <w:r>
              <w:rPr>
                <w:rFonts w:ascii="Calibri" w:hAnsi="Calibri"/>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1,035</w:t>
            </w:r>
          </w:p>
        </w:tc>
        <w:tc>
          <w:tcPr>
            <w:tcW w:type="dxa" w:w="1728"/>
          </w:tcPr>
          <w:p>
            <w:r>
              <w:rPr>
                <w:rFonts w:ascii="Calibri" w:hAnsi="Calibri"/>
                <w:sz w:val="22"/>
              </w:rPr>
              <w:t>1,013</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992</w:t>
            </w:r>
          </w:p>
        </w:tc>
        <w:tc>
          <w:tcPr>
            <w:tcW w:type="dxa" w:w="1728"/>
          </w:tcPr>
          <w:p>
            <w:r>
              <w:rPr>
                <w:rFonts w:ascii="Calibri" w:hAnsi="Calibri"/>
                <w:sz w:val="22"/>
              </w:rPr>
              <w:t>983</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872</w:t>
            </w:r>
          </w:p>
        </w:tc>
        <w:tc>
          <w:tcPr>
            <w:tcW w:type="dxa" w:w="1728"/>
          </w:tcPr>
          <w:p>
            <w:r>
              <w:rPr>
                <w:rFonts w:ascii="Calibri" w:hAnsi="Calibri"/>
                <w:sz w:val="22"/>
              </w:rPr>
              <w:t>849</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1,016</w:t>
            </w:r>
          </w:p>
        </w:tc>
        <w:tc>
          <w:tcPr>
            <w:tcW w:type="dxa" w:w="1728"/>
          </w:tcPr>
          <w:p>
            <w:r>
              <w:rPr>
                <w:rFonts w:ascii="Calibri" w:hAnsi="Calibri"/>
                <w:sz w:val="22"/>
              </w:rPr>
              <w:t>1,005</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977</w:t>
            </w:r>
          </w:p>
        </w:tc>
        <w:tc>
          <w:tcPr>
            <w:tcW w:type="dxa" w:w="1728"/>
          </w:tcPr>
          <w:p>
            <w:r>
              <w:rPr>
                <w:rFonts w:ascii="Calibri" w:hAnsi="Calibri"/>
                <w:sz w:val="22"/>
              </w:rPr>
              <w:t>946</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709</w:t>
            </w:r>
          </w:p>
        </w:tc>
        <w:tc>
          <w:tcPr>
            <w:tcW w:type="dxa" w:w="1728"/>
          </w:tcPr>
          <w:p>
            <w:r>
              <w:rPr>
                <w:rFonts w:ascii="Calibri" w:hAnsi="Calibri"/>
                <w:sz w:val="22"/>
              </w:rPr>
              <w:t>640</w:t>
            </w:r>
          </w:p>
        </w:tc>
        <w:tc>
          <w:tcPr>
            <w:tcW w:type="dxa" w:w="1728"/>
          </w:tcPr>
          <w:p>
            <w:r>
              <w:rPr>
                <w:rFonts w:ascii="Calibri" w:hAnsi="Calibri"/>
                <w:sz w:val="22"/>
              </w:rPr>
              <w:t>+10.8%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657</w:t>
            </w:r>
          </w:p>
        </w:tc>
        <w:tc>
          <w:tcPr>
            <w:tcW w:type="dxa" w:w="1728"/>
          </w:tcPr>
          <w:p>
            <w:r>
              <w:rPr>
                <w:rFonts w:ascii="Calibri" w:hAnsi="Calibri"/>
                <w:sz w:val="22"/>
              </w:rPr>
              <w:t>651</w:t>
            </w:r>
          </w:p>
        </w:tc>
        <w:tc>
          <w:tcPr>
            <w:tcW w:type="dxa" w:w="1728"/>
          </w:tcPr>
          <w:p>
            <w:r>
              <w:rPr>
                <w:rFonts w:ascii="Calibri" w:hAnsi="Calibri"/>
                <w:sz w:val="22"/>
              </w:rPr>
              <w:t>+0.9%</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 EPS — Diluted Operating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$0.46</w:t>
            </w:r>
          </w:p>
        </w:tc>
        <w:tc>
          <w:tcPr>
            <w:tcW w:type="dxa" w:w="1728"/>
          </w:tcPr>
          <w:p>
            <w:r>
              <w:rPr>
                <w:rFonts w:ascii="Calibri" w:hAnsi="Calibri"/>
                <w:sz w:val="22"/>
              </w:rPr>
              <w:t>$0.39</w:t>
            </w:r>
          </w:p>
        </w:tc>
        <w:tc>
          <w:tcPr>
            <w:tcW w:type="dxa" w:w="1728"/>
          </w:tcPr>
          <w:p>
            <w:r>
              <w:rPr>
                <w:rFonts w:ascii="Calibri" w:hAnsi="Calibri"/>
                <w:sz w:val="22"/>
              </w:rPr>
              <w:t>+18.4%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$0.38</w:t>
            </w:r>
          </w:p>
        </w:tc>
        <w:tc>
          <w:tcPr>
            <w:tcW w:type="dxa" w:w="1728"/>
          </w:tcPr>
          <w:p>
            <w:r>
              <w:rPr>
                <w:rFonts w:ascii="Calibri" w:hAnsi="Calibri"/>
                <w:sz w:val="22"/>
              </w:rPr>
              <w:t>$0.36</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$0.31</w:t>
            </w:r>
          </w:p>
        </w:tc>
        <w:tc>
          <w:tcPr>
            <w:tcW w:type="dxa" w:w="1728"/>
          </w:tcPr>
          <w:p>
            <w:r>
              <w:rPr>
                <w:rFonts w:ascii="Calibri" w:hAnsi="Calibri"/>
                <w:sz w:val="22"/>
              </w:rPr>
              <w:t>$0.21</w:t>
            </w:r>
          </w:p>
        </w:tc>
        <w:tc>
          <w:tcPr>
            <w:tcW w:type="dxa" w:w="1728"/>
          </w:tcPr>
          <w:p>
            <w:r>
              <w:rPr>
                <w:rFonts w:ascii="Calibri" w:hAnsi="Calibri"/>
                <w:sz w:val="22"/>
              </w:rPr>
              <w:t>+45.2%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$0.25</w:t>
            </w:r>
          </w:p>
        </w:tc>
        <w:tc>
          <w:tcPr>
            <w:tcW w:type="dxa" w:w="1728"/>
          </w:tcPr>
          <w:p>
            <w:r>
              <w:rPr>
                <w:rFonts w:ascii="Calibri" w:hAnsi="Calibri"/>
                <w:sz w:val="22"/>
              </w:rPr>
              <w:t>$0.22</w:t>
            </w:r>
          </w:p>
        </w:tc>
        <w:tc>
          <w:tcPr>
            <w:tcW w:type="dxa" w:w="1728"/>
          </w:tcPr>
          <w:p>
            <w:r>
              <w:rPr>
                <w:rFonts w:ascii="Calibri" w:hAnsi="Calibri"/>
                <w:sz w:val="22"/>
              </w:rPr>
              <w:t>+11.5%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$0.55</w:t>
            </w:r>
          </w:p>
        </w:tc>
        <w:tc>
          <w:tcPr>
            <w:tcW w:type="dxa" w:w="1728"/>
          </w:tcPr>
          <w:p>
            <w:r>
              <w:rPr>
                <w:rFonts w:ascii="Calibri" w:hAnsi="Calibri"/>
                <w:sz w:val="22"/>
              </w:rPr>
              <w:t>$0.45</w:t>
            </w:r>
          </w:p>
        </w:tc>
        <w:tc>
          <w:tcPr>
            <w:tcW w:type="dxa" w:w="1728"/>
          </w:tcPr>
          <w:p>
            <w:r>
              <w:rPr>
                <w:rFonts w:ascii="Calibri" w:hAnsi="Calibri"/>
                <w:sz w:val="22"/>
              </w:rPr>
              <w:t>+21.2%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$0.50</w:t>
            </w:r>
          </w:p>
        </w:tc>
        <w:tc>
          <w:tcPr>
            <w:tcW w:type="dxa" w:w="1728"/>
          </w:tcPr>
          <w:p>
            <w:r>
              <w:rPr>
                <w:rFonts w:ascii="Calibri" w:hAnsi="Calibri"/>
                <w:sz w:val="22"/>
              </w:rPr>
              <w:t>$0.41</w:t>
            </w:r>
          </w:p>
        </w:tc>
        <w:tc>
          <w:tcPr>
            <w:tcW w:type="dxa" w:w="1728"/>
          </w:tcPr>
          <w:p>
            <w:r>
              <w:rPr>
                <w:rFonts w:ascii="Calibri" w:hAnsi="Calibri"/>
                <w:sz w:val="22"/>
              </w:rPr>
              <w:t>+21.2%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$0.48</w:t>
            </w:r>
          </w:p>
        </w:tc>
        <w:tc>
          <w:tcPr>
            <w:tcW w:type="dxa" w:w="1728"/>
          </w:tcPr>
          <w:p>
            <w:r>
              <w:rPr>
                <w:rFonts w:ascii="Calibri" w:hAnsi="Calibri"/>
                <w:sz w:val="22"/>
              </w:rPr>
              <w:t>$0.26</w:t>
            </w:r>
          </w:p>
        </w:tc>
        <w:tc>
          <w:tcPr>
            <w:tcW w:type="dxa" w:w="1728"/>
          </w:tcPr>
          <w:p>
            <w:r>
              <w:rPr>
                <w:rFonts w:ascii="Calibri" w:hAnsi="Calibri"/>
                <w:sz w:val="22"/>
              </w:rPr>
              <w:t>+84.6%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$0.57</w:t>
            </w:r>
          </w:p>
        </w:tc>
        <w:tc>
          <w:tcPr>
            <w:tcW w:type="dxa" w:w="1728"/>
          </w:tcPr>
          <w:p>
            <w:r>
              <w:rPr>
                <w:rFonts w:ascii="Calibri" w:hAnsi="Calibri"/>
                <w:sz w:val="22"/>
              </w:rPr>
              <w:t>$0.47</w:t>
            </w:r>
          </w:p>
        </w:tc>
        <w:tc>
          <w:tcPr>
            <w:tcW w:type="dxa" w:w="1728"/>
          </w:tcPr>
          <w:p>
            <w:r>
              <w:rPr>
                <w:rFonts w:ascii="Calibri" w:hAnsi="Calibri"/>
                <w:sz w:val="22"/>
              </w:rPr>
              <w:t>+21.3%</w:t>
            </w:r>
          </w:p>
        </w:tc>
        <w:tc>
          <w:tcPr>
            <w:tcW w:type="dxa" w:w="1728"/>
          </w:tcPr>
          <w:p>
            <w:r>
              <w:rPr>
                <w:rFonts w:ascii="Calibri" w:hAnsi="Calibri"/>
                <w:b/>
                <w:color w:val="30A46C"/>
                <w:sz w:val="22"/>
              </w:rPr>
              <w:t>Beat</w:t>
            </w:r>
          </w:p>
        </w:tc>
      </w:tr>
    </w:tbl>
    <w:p>
      <w:r>
        <w:rPr>
          <w:rFonts w:ascii="Calibri" w:hAnsi="Calibri"/>
          <w:i/>
          <w:color w:val="525866"/>
          <w:sz w:val="22"/>
        </w:rPr>
        <w:t xml:space="preserve">FCX has beaten EPS consensus in every quarter shown, with an average surprise of ~28% — a strong sandbagging pattern. Copper volume beats are more modest (+2–3% on average) but consistent, with the notable exception of Q4 2025 (+10.8%) when Grasberg was offline. The consistent EPS beat pattern suggests the Q2 2026 consensus of $0.59 may be beatable, but the </w:t>
      </w:r>
      <w:r>
        <w:rPr>
          <w:rFonts w:ascii="Calibri" w:hAnsi="Calibri"/>
          <w:b/>
          <w:i/>
          <w:color w:val="525866"/>
          <w:sz w:val="22"/>
        </w:rPr>
        <w:t>volume ramp</w:t>
      </w:r>
      <w:r>
        <w:rPr>
          <w:rFonts w:ascii="Calibri" w:hAnsi="Calibri"/>
          <w:i/>
          <w:color w:val="525866"/>
          <w:sz w:val="22"/>
        </w:rPr>
        <w:t xml:space="preserve"> is the more important signal for the stock.</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Full-year 2026 guidance was materially cut at Q1 earnings (copper -9%, gold -7% vs. prior 5-year plan; unit costs raised to $1.95/lb from $1.75/lb) and has not been formally revised since. </w:t>
      </w:r>
      <w:r>
        <w:rPr>
          <w:rFonts w:ascii="Calibri" w:hAnsi="Calibri"/>
          <w:b/>
          <w:color w:val="525866"/>
          <w:sz w:val="22"/>
        </w:rPr>
        <w:t>The BofA May 2026 conference maintained the Q1 framing with no incremental changes, leaving Q2 earnings as the next formal guidance update.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Copper Sales (Mlbs)</w:t>
            </w:r>
          </w:p>
        </w:tc>
        <w:tc>
          <w:tcPr>
            <w:tcW w:type="dxa" w:w="1728"/>
          </w:tcPr>
          <w:p>
            <w:r>
              <w:rPr>
                <w:rFonts w:ascii="Calibri" w:hAnsi="Calibri"/>
                <w:sz w:val="22"/>
              </w:rPr>
              <w:t>~3,100 (revised down from ~3,400)</w:t>
            </w:r>
          </w:p>
        </w:tc>
        <w:tc>
          <w:tcPr>
            <w:tcW w:type="dxa" w:w="1728"/>
          </w:tcPr>
          <w:p>
            <w:r>
              <w:rPr>
                <w:rFonts w:ascii="Calibri" w:hAnsi="Calibri"/>
                <w:sz w:val="22"/>
              </w:rPr>
              <w:t>—</w:t>
            </w:r>
          </w:p>
        </w:tc>
        <w:tc>
          <w:tcPr>
            <w:tcW w:type="dxa" w:w="1728"/>
          </w:tcPr>
          <w:p>
            <w:r>
              <w:rPr>
                <w:rFonts w:ascii="Calibri" w:hAnsi="Calibri"/>
                <w:sz w:val="22"/>
              </w:rPr>
              <w:t>3,093</w:t>
            </w:r>
          </w:p>
        </w:tc>
        <w:tc>
          <w:tcPr>
            <w:tcW w:type="dxa" w:w="1728"/>
          </w:tcPr>
          <w:p>
            <w:r>
              <w:rPr>
                <w:rFonts w:ascii="Calibri" w:hAnsi="Calibri"/>
                <w:sz w:val="22"/>
              </w:rPr>
              <w:t>Cut at Q1 earnings; 2H expected ~30% &gt; 1H</w:t>
            </w:r>
          </w:p>
        </w:tc>
      </w:tr>
      <w:tr>
        <w:tc>
          <w:tcPr>
            <w:tcW w:type="dxa" w:w="1728"/>
          </w:tcPr>
          <w:p>
            <w:r>
              <w:rPr>
                <w:rFonts w:ascii="Calibri" w:hAnsi="Calibri"/>
                <w:sz w:val="22"/>
              </w:rPr>
              <w:t>FY 2026 Gold Sales (Kozt)</w:t>
            </w:r>
          </w:p>
        </w:tc>
        <w:tc>
          <w:tcPr>
            <w:tcW w:type="dxa" w:w="1728"/>
          </w:tcPr>
          <w:p>
            <w:r>
              <w:rPr>
                <w:rFonts w:ascii="Calibri" w:hAnsi="Calibri"/>
                <w:sz w:val="22"/>
              </w:rPr>
              <w:t>~650 (revised down from ~800)</w:t>
            </w:r>
          </w:p>
        </w:tc>
        <w:tc>
          <w:tcPr>
            <w:tcW w:type="dxa" w:w="1728"/>
          </w:tcPr>
          <w:p>
            <w:r>
              <w:rPr>
                <w:rFonts w:ascii="Calibri" w:hAnsi="Calibri"/>
                <w:sz w:val="22"/>
              </w:rPr>
              <w:t>—</w:t>
            </w:r>
          </w:p>
        </w:tc>
        <w:tc>
          <w:tcPr>
            <w:tcW w:type="dxa" w:w="1728"/>
          </w:tcPr>
          <w:p>
            <w:r>
              <w:rPr>
                <w:rFonts w:ascii="Calibri" w:hAnsi="Calibri"/>
                <w:sz w:val="22"/>
              </w:rPr>
              <w:t>660</w:t>
            </w:r>
          </w:p>
        </w:tc>
        <w:tc>
          <w:tcPr>
            <w:tcW w:type="dxa" w:w="1728"/>
          </w:tcPr>
          <w:p>
            <w:r>
              <w:rPr>
                <w:rFonts w:ascii="Calibri" w:hAnsi="Calibri"/>
                <w:sz w:val="22"/>
              </w:rPr>
              <w:t>Cut at Q1 earnings; 2H expected ~50% &gt; 1H</w:t>
            </w:r>
          </w:p>
        </w:tc>
      </w:tr>
      <w:tr>
        <w:tc>
          <w:tcPr>
            <w:tcW w:type="dxa" w:w="1728"/>
          </w:tcPr>
          <w:p>
            <w:r>
              <w:rPr>
                <w:rFonts w:ascii="Calibri" w:hAnsi="Calibri"/>
                <w:sz w:val="22"/>
              </w:rPr>
              <w:t>FY 2026 Unit Net Cash Cost ($/lb)</w:t>
            </w:r>
          </w:p>
        </w:tc>
        <w:tc>
          <w:tcPr>
            <w:tcW w:type="dxa" w:w="1728"/>
          </w:tcPr>
          <w:p>
            <w:r>
              <w:rPr>
                <w:rFonts w:ascii="Calibri" w:hAnsi="Calibri"/>
                <w:sz w:val="22"/>
              </w:rPr>
              <w:t>~$1.95 (raised from ~$1.75)</w:t>
            </w:r>
          </w:p>
        </w:tc>
        <w:tc>
          <w:tcPr>
            <w:tcW w:type="dxa" w:w="1728"/>
          </w:tcPr>
          <w:p>
            <w:r>
              <w:rPr>
                <w:rFonts w:ascii="Calibri" w:hAnsi="Calibri"/>
                <w:sz w:val="22"/>
              </w:rPr>
              <w:t>—</w:t>
            </w:r>
          </w:p>
        </w:tc>
        <w:tc>
          <w:tcPr>
            <w:tcW w:type="dxa" w:w="1728"/>
          </w:tcPr>
          <w:p>
            <w:r>
              <w:rPr>
                <w:rFonts w:ascii="Calibri" w:hAnsi="Calibri"/>
                <w:sz w:val="22"/>
              </w:rPr>
              <w:t>$1.92</w:t>
            </w:r>
          </w:p>
        </w:tc>
        <w:tc>
          <w:tcPr>
            <w:tcW w:type="dxa" w:w="1728"/>
          </w:tcPr>
          <w:p>
            <w:r>
              <w:rPr>
                <w:rFonts w:ascii="Calibri" w:hAnsi="Calibri"/>
                <w:sz w:val="22"/>
              </w:rPr>
              <w:t>↑ Raised at Q1 due to lower Grasberg volumes + diesel/sulfuric acid inflation</w:t>
            </w:r>
          </w:p>
        </w:tc>
      </w:tr>
      <w:tr>
        <w:tc>
          <w:tcPr>
            <w:tcW w:type="dxa" w:w="1728"/>
          </w:tcPr>
          <w:p>
            <w:r>
              <w:rPr>
                <w:rFonts w:ascii="Calibri" w:hAnsi="Calibri"/>
                <w:sz w:val="22"/>
              </w:rPr>
              <w:t>FY 2026 CapEx</w:t>
            </w:r>
          </w:p>
        </w:tc>
        <w:tc>
          <w:tcPr>
            <w:tcW w:type="dxa" w:w="1728"/>
          </w:tcPr>
          <w:p>
            <w:r>
              <w:rPr>
                <w:rFonts w:ascii="Calibri" w:hAnsi="Calibri"/>
                <w:sz w:val="22"/>
              </w:rPr>
              <w:t>~$4.3B</w:t>
            </w:r>
          </w:p>
        </w:tc>
        <w:tc>
          <w:tcPr>
            <w:tcW w:type="dxa" w:w="1728"/>
          </w:tcPr>
          <w:p>
            <w:r>
              <w:rPr>
                <w:rFonts w:ascii="Calibri" w:hAnsi="Calibri"/>
                <w:sz w:val="22"/>
              </w:rPr>
              <w:t>—</w:t>
            </w:r>
          </w:p>
        </w:tc>
        <w:tc>
          <w:tcPr>
            <w:tcW w:type="dxa" w:w="1728"/>
          </w:tcPr>
          <w:p>
            <w:r>
              <w:rPr>
                <w:rFonts w:ascii="Calibri" w:hAnsi="Calibri"/>
                <w:sz w:val="22"/>
              </w:rPr>
              <w:t>$4.33B</w:t>
            </w:r>
          </w:p>
        </w:tc>
        <w:tc>
          <w:tcPr>
            <w:tcW w:type="dxa" w:w="1728"/>
          </w:tcPr>
          <w:p>
            <w:r>
              <w:rPr>
                <w:rFonts w:ascii="Calibri" w:hAnsi="Calibri"/>
                <w:sz w:val="22"/>
              </w:rPr>
              <w:t>Unchanged; ~$1.6–1.7B discretionary</w:t>
            </w:r>
          </w:p>
        </w:tc>
      </w:tr>
      <w:tr>
        <w:tc>
          <w:tcPr>
            <w:tcW w:type="dxa" w:w="1728"/>
          </w:tcPr>
          <w:p>
            <w:r>
              <w:rPr>
                <w:rFonts w:ascii="Calibri" w:hAnsi="Calibri"/>
                <w:sz w:val="22"/>
              </w:rPr>
              <w:t>Grasberg Ramp Timeline</w:t>
            </w:r>
          </w:p>
        </w:tc>
        <w:tc>
          <w:tcPr>
            <w:tcW w:type="dxa" w:w="1728"/>
          </w:tcPr>
          <w:p>
            <w:r>
              <w:rPr>
                <w:rFonts w:ascii="Calibri" w:hAnsi="Calibri"/>
                <w:sz w:val="22"/>
              </w:rPr>
              <w:t>~60K tpd in 2H 2026; ~90K tpd by mid-2027; full capacity end-2027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PT Freeport Indonesia CEO suggested early 2028; FCX corporate disputes, reaffirms end-2027</w:t>
            </w:r>
          </w:p>
        </w:tc>
      </w:tr>
      <w:tr>
        <w:tc>
          <w:tcPr>
            <w:tcW w:type="dxa" w:w="1728"/>
          </w:tcPr>
          <w:p>
            <w:r>
              <w:rPr>
                <w:rFonts w:ascii="Calibri" w:hAnsi="Calibri"/>
                <w:sz w:val="22"/>
              </w:rPr>
              <w:t>U.S. Unit Cost Target</w:t>
            </w:r>
          </w:p>
        </w:tc>
        <w:tc>
          <w:tcPr>
            <w:tcW w:type="dxa" w:w="1728"/>
          </w:tcPr>
          <w:p>
            <w:r>
              <w:rPr>
                <w:rFonts w:ascii="Calibri" w:hAnsi="Calibri"/>
                <w:sz w:val="22"/>
              </w:rPr>
              <w:t>$2.50/lb by 2027 (under review)</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Under review due to diesel/sulfuric acid cost pressures</w:t>
            </w:r>
          </w:p>
        </w:tc>
      </w:tr>
      <w:tr>
        <w:tc>
          <w:tcPr>
            <w:tcW w:type="dxa" w:w="1728"/>
          </w:tcPr>
          <w:p>
            <w:r>
              <w:rPr>
                <w:rFonts w:ascii="Calibri" w:hAnsi="Calibri"/>
                <w:sz w:val="22"/>
              </w:rPr>
              <w:t>Leach Initiative</w:t>
            </w:r>
          </w:p>
        </w:tc>
        <w:tc>
          <w:tcPr>
            <w:tcW w:type="dxa" w:w="1728"/>
          </w:tcPr>
          <w:p>
            <w:r>
              <w:rPr>
                <w:rFonts w:ascii="Calibri" w:hAnsi="Calibri"/>
                <w:sz w:val="22"/>
              </w:rPr>
              <w:t>300–400M lbs/yr in 2026–2027; 800M lbs by 2030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Boilers constructed at Morenci; heat injection underway; next-gen additives in lab testing</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for Q2 2026 have risen ~10% since the post-Q1 baseline (EPS: $0.53 → $0.59; Revenue: $6.49B → $6.72B), suggesting the street has grown more constructive despite the Grasberg setback — likely driven by higher copper prices. </w:t>
      </w:r>
      <w:r>
        <w:rPr>
          <w:rFonts w:ascii="Calibri" w:hAnsi="Calibri"/>
          <w:b/>
          <w:color w:val="525866"/>
          <w:sz w:val="22"/>
        </w:rPr>
        <w:t>FY 2026 estimates have also risen modestly from the post-Q1 baseline, with EBITDA up ~3.3% ($11.47B → $11.84B), though still well below pre-Q1 levels.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(Apr 28, 2026 — 5 days post Q1)</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Q2 2026</w:t>
            </w:r>
          </w:p>
        </w:tc>
        <w:tc>
          <w:tcPr>
            <w:tcW w:type="dxa" w:w="1080"/>
          </w:tcPr>
          <w:p>
            <w:r>
              <w:rPr>
                <w:rFonts w:ascii="Calibri" w:hAnsi="Calibri"/>
                <w:sz w:val="22"/>
              </w:rPr>
              <w:t>$6.49B</w:t>
            </w:r>
          </w:p>
        </w:tc>
        <w:tc>
          <w:tcPr>
            <w:tcW w:type="dxa" w:w="1080"/>
          </w:tcPr>
          <w:p>
            <w:r>
              <w:rPr>
                <w:rFonts w:ascii="Calibri" w:hAnsi="Calibri"/>
                <w:sz w:val="22"/>
              </w:rPr>
              <w:t>$6.72B</w:t>
            </w:r>
          </w:p>
        </w:tc>
        <w:tc>
          <w:tcPr>
            <w:tcW w:type="dxa" w:w="1080"/>
          </w:tcPr>
          <w:p>
            <w:r>
              <w:rPr>
                <w:rFonts w:ascii="Calibri" w:hAnsi="Calibri"/>
                <w:b/>
                <w:color w:val="30A46C"/>
                <w:sz w:val="22"/>
              </w:rPr>
              <w:t>+3.5%</w:t>
            </w:r>
          </w:p>
        </w:tc>
        <w:tc>
          <w:tcPr>
            <w:tcW w:type="dxa" w:w="1080"/>
          </w:tcPr>
          <w:p>
            <w:r>
              <w:rPr>
                <w:rFonts w:ascii="Calibri" w:hAnsi="Calibri"/>
                <w:sz w:val="22"/>
              </w:rPr>
              <w:t>No Q2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$0.53</w:t>
            </w:r>
          </w:p>
        </w:tc>
        <w:tc>
          <w:tcPr>
            <w:tcW w:type="dxa" w:w="1080"/>
          </w:tcPr>
          <w:p>
            <w:r>
              <w:rPr>
                <w:rFonts w:ascii="Calibri" w:hAnsi="Calibri"/>
                <w:sz w:val="22"/>
              </w:rPr>
              <w:t>$0.59</w:t>
            </w:r>
          </w:p>
        </w:tc>
        <w:tc>
          <w:tcPr>
            <w:tcW w:type="dxa" w:w="1080"/>
          </w:tcPr>
          <w:p>
            <w:r>
              <w:rPr>
                <w:rFonts w:ascii="Calibri" w:hAnsi="Calibri"/>
                <w:b/>
                <w:color w:val="30A46C"/>
                <w:sz w:val="22"/>
              </w:rPr>
              <w:t>+10.7%</w:t>
            </w:r>
          </w:p>
        </w:tc>
        <w:tc>
          <w:tcPr>
            <w:tcW w:type="dxa" w:w="1080"/>
          </w:tcPr>
          <w:p>
            <w:r>
              <w:rPr>
                <w:rFonts w:ascii="Calibri" w:hAnsi="Calibri"/>
                <w:sz w:val="22"/>
              </w:rPr>
              <w:t>No Q2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Copper Vol. — Q2 2026 (Mlbs)</w:t>
            </w:r>
          </w:p>
        </w:tc>
        <w:tc>
          <w:tcPr>
            <w:tcW w:type="dxa" w:w="1080"/>
          </w:tcPr>
          <w:p>
            <w:r>
              <w:rPr>
                <w:rFonts w:ascii="Calibri" w:hAnsi="Calibri"/>
                <w:sz w:val="22"/>
              </w:rPr>
              <w:t>700</w:t>
            </w:r>
          </w:p>
        </w:tc>
        <w:tc>
          <w:tcPr>
            <w:tcW w:type="dxa" w:w="1080"/>
          </w:tcPr>
          <w:p>
            <w:r>
              <w:rPr>
                <w:rFonts w:ascii="Calibri" w:hAnsi="Calibri"/>
                <w:sz w:val="22"/>
              </w:rPr>
              <w:t>691</w:t>
            </w:r>
          </w:p>
        </w:tc>
        <w:tc>
          <w:tcPr>
            <w:tcW w:type="dxa" w:w="1080"/>
          </w:tcPr>
          <w:p>
            <w:r>
              <w:rPr>
                <w:rFonts w:ascii="Calibri" w:hAnsi="Calibri"/>
                <w:b/>
                <w:color w:val="E5484D"/>
                <w:sz w:val="22"/>
              </w:rPr>
              <w:t>-1.3%</w:t>
            </w:r>
          </w:p>
        </w:tc>
        <w:tc>
          <w:tcPr>
            <w:tcW w:type="dxa" w:w="1080"/>
          </w:tcPr>
          <w:p>
            <w:r>
              <w:rPr>
                <w:rFonts w:ascii="Calibri" w:hAnsi="Calibri"/>
                <w:sz w:val="22"/>
              </w:rPr>
              <w:t>2H ~30% &gt; 1H</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~2% below implied guide</w:t>
            </w:r>
          </w:p>
        </w:tc>
      </w:tr>
      <w:tr>
        <w:tc>
          <w:tcPr>
            <w:tcW w:type="dxa" w:w="1080"/>
          </w:tcPr>
          <w:p>
            <w:r>
              <w:rPr>
                <w:rFonts w:ascii="Calibri" w:hAnsi="Calibri"/>
                <w:sz w:val="22"/>
              </w:rPr>
              <w:t>EBITDA — Q2 2026</w:t>
            </w:r>
          </w:p>
        </w:tc>
        <w:tc>
          <w:tcPr>
            <w:tcW w:type="dxa" w:w="1080"/>
          </w:tcPr>
          <w:p>
            <w:r>
              <w:rPr>
                <w:rFonts w:ascii="Calibri" w:hAnsi="Calibri"/>
                <w:sz w:val="22"/>
              </w:rPr>
              <w:t>$2.29B</w:t>
            </w:r>
          </w:p>
        </w:tc>
        <w:tc>
          <w:tcPr>
            <w:tcW w:type="dxa" w:w="1080"/>
          </w:tcPr>
          <w:p>
            <w:r>
              <w:rPr>
                <w:rFonts w:ascii="Calibri" w:hAnsi="Calibri"/>
                <w:sz w:val="22"/>
              </w:rPr>
              <w:t>$2.41B</w:t>
            </w:r>
          </w:p>
        </w:tc>
        <w:tc>
          <w:tcPr>
            <w:tcW w:type="dxa" w:w="1080"/>
          </w:tcPr>
          <w:p>
            <w:r>
              <w:rPr>
                <w:rFonts w:ascii="Calibri" w:hAnsi="Calibri"/>
                <w:b/>
                <w:color w:val="30A46C"/>
                <w:sz w:val="22"/>
              </w:rPr>
              <w:t>+5.2%</w:t>
            </w:r>
          </w:p>
        </w:tc>
        <w:tc>
          <w:tcPr>
            <w:tcW w:type="dxa" w:w="1080"/>
          </w:tcPr>
          <w:p>
            <w:r>
              <w:rPr>
                <w:rFonts w:ascii="Calibri" w:hAnsi="Calibri"/>
                <w:sz w:val="22"/>
              </w:rPr>
              <w:t>No Q2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$28.15B</w:t>
            </w:r>
          </w:p>
        </w:tc>
        <w:tc>
          <w:tcPr>
            <w:tcW w:type="dxa" w:w="1080"/>
          </w:tcPr>
          <w:p>
            <w:r>
              <w:rPr>
                <w:rFonts w:ascii="Calibri" w:hAnsi="Calibri"/>
                <w:sz w:val="22"/>
              </w:rPr>
              <w:t>$28.83B</w:t>
            </w:r>
          </w:p>
        </w:tc>
        <w:tc>
          <w:tcPr>
            <w:tcW w:type="dxa" w:w="1080"/>
          </w:tcPr>
          <w:p>
            <w:r>
              <w:rPr>
                <w:rFonts w:ascii="Calibri" w:hAnsi="Calibri"/>
                <w:b/>
                <w:color w:val="30A46C"/>
                <w:sz w:val="22"/>
              </w:rPr>
              <w:t>+2.4%</w:t>
            </w:r>
          </w:p>
        </w:tc>
        <w:tc>
          <w:tcPr>
            <w:tcW w:type="dxa" w:w="1080"/>
          </w:tcPr>
          <w:p>
            <w:r>
              <w:rPr>
                <w:rFonts w:ascii="Calibri" w:hAnsi="Calibri"/>
                <w:sz w:val="22"/>
              </w:rPr>
              <w:t>No FY rev.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$2.50</w:t>
            </w:r>
          </w:p>
        </w:tc>
        <w:tc>
          <w:tcPr>
            <w:tcW w:type="dxa" w:w="1080"/>
          </w:tcPr>
          <w:p>
            <w:r>
              <w:rPr>
                <w:rFonts w:ascii="Calibri" w:hAnsi="Calibri"/>
                <w:sz w:val="22"/>
              </w:rPr>
              <w:t>$2.75</w:t>
            </w:r>
          </w:p>
        </w:tc>
        <w:tc>
          <w:tcPr>
            <w:tcW w:type="dxa" w:w="1080"/>
          </w:tcPr>
          <w:p>
            <w:r>
              <w:rPr>
                <w:rFonts w:ascii="Calibri" w:hAnsi="Calibri"/>
                <w:b/>
                <w:color w:val="30A46C"/>
                <w:sz w:val="22"/>
              </w:rPr>
              <w:t>+10.2%</w:t>
            </w:r>
          </w:p>
        </w:tc>
        <w:tc>
          <w:tcPr>
            <w:tcW w:type="dxa" w:w="1080"/>
          </w:tcPr>
          <w:p>
            <w:r>
              <w:rPr>
                <w:rFonts w:ascii="Calibri" w:hAnsi="Calibri"/>
                <w:sz w:val="22"/>
              </w:rPr>
              <w:t>No FY EPS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Copper Vol. — FY 2026 (Mlbs)</w:t>
            </w:r>
          </w:p>
        </w:tc>
        <w:tc>
          <w:tcPr>
            <w:tcW w:type="dxa" w:w="1080"/>
          </w:tcPr>
          <w:p>
            <w:r>
              <w:rPr>
                <w:rFonts w:ascii="Calibri" w:hAnsi="Calibri"/>
                <w:sz w:val="22"/>
              </w:rPr>
              <w:t>3,126</w:t>
            </w:r>
          </w:p>
        </w:tc>
        <w:tc>
          <w:tcPr>
            <w:tcW w:type="dxa" w:w="1080"/>
          </w:tcPr>
          <w:p>
            <w:r>
              <w:rPr>
                <w:rFonts w:ascii="Calibri" w:hAnsi="Calibri"/>
                <w:sz w:val="22"/>
              </w:rPr>
              <w:t>3,093</w:t>
            </w:r>
          </w:p>
        </w:tc>
        <w:tc>
          <w:tcPr>
            <w:tcW w:type="dxa" w:w="1080"/>
          </w:tcPr>
          <w:p>
            <w:r>
              <w:rPr>
                <w:rFonts w:ascii="Calibri" w:hAnsi="Calibri"/>
                <w:b/>
                <w:color w:val="E5484D"/>
                <w:sz w:val="22"/>
              </w:rPr>
              <w:t>-1.1%</w:t>
            </w:r>
          </w:p>
        </w:tc>
        <w:tc>
          <w:tcPr>
            <w:tcW w:type="dxa" w:w="1080"/>
          </w:tcPr>
          <w:p>
            <w:r>
              <w:rPr>
                <w:rFonts w:ascii="Calibri" w:hAnsi="Calibri"/>
                <w:sz w:val="22"/>
              </w:rPr>
              <w:t>~3,100M lbs</w:t>
            </w:r>
          </w:p>
        </w:tc>
        <w:tc>
          <w:tcPr>
            <w:tcW w:type="dxa" w:w="1080"/>
          </w:tcPr>
          <w:p>
            <w:r>
              <w:rPr>
                <w:rFonts w:ascii="Calibri" w:hAnsi="Calibri"/>
                <w:sz w:val="22"/>
              </w:rPr>
              <w:t>~3,100M lbs</w:t>
            </w:r>
          </w:p>
        </w:tc>
        <w:tc>
          <w:tcPr>
            <w:tcW w:type="dxa" w:w="1080"/>
          </w:tcPr>
          <w:p>
            <w:r>
              <w:rPr>
                <w:rFonts w:ascii="Calibri" w:hAnsi="Calibri"/>
                <w:sz w:val="22"/>
              </w:rPr>
              <w:t>Unchanged</w:t>
            </w:r>
          </w:p>
        </w:tc>
        <w:tc>
          <w:tcPr>
            <w:tcW w:type="dxa" w:w="1080"/>
          </w:tcPr>
          <w:p>
            <w:r>
              <w:rPr>
                <w:rFonts w:ascii="Calibri" w:hAnsi="Calibri"/>
                <w:sz w:val="22"/>
              </w:rPr>
              <w:t>-0.2% below guide</w:t>
            </w:r>
          </w:p>
        </w:tc>
      </w:tr>
      <w:tr>
        <w:tc>
          <w:tcPr>
            <w:tcW w:type="dxa" w:w="1080"/>
          </w:tcPr>
          <w:p>
            <w:r>
              <w:rPr>
                <w:rFonts w:ascii="Calibri" w:hAnsi="Calibri"/>
                <w:sz w:val="22"/>
              </w:rPr>
              <w:t>EBITDA — FY 2026</w:t>
            </w:r>
          </w:p>
        </w:tc>
        <w:tc>
          <w:tcPr>
            <w:tcW w:type="dxa" w:w="1080"/>
          </w:tcPr>
          <w:p>
            <w:r>
              <w:rPr>
                <w:rFonts w:ascii="Calibri" w:hAnsi="Calibri"/>
                <w:sz w:val="22"/>
              </w:rPr>
              <w:t>$11.47B</w:t>
            </w:r>
          </w:p>
        </w:tc>
        <w:tc>
          <w:tcPr>
            <w:tcW w:type="dxa" w:w="1080"/>
          </w:tcPr>
          <w:p>
            <w:r>
              <w:rPr>
                <w:rFonts w:ascii="Calibri" w:hAnsi="Calibri"/>
                <w:sz w:val="22"/>
              </w:rPr>
              <w:t>$11.84B</w:t>
            </w:r>
          </w:p>
        </w:tc>
        <w:tc>
          <w:tcPr>
            <w:tcW w:type="dxa" w:w="1080"/>
          </w:tcPr>
          <w:p>
            <w:r>
              <w:rPr>
                <w:rFonts w:ascii="Calibri" w:hAnsi="Calibri"/>
                <w:b/>
                <w:color w:val="30A46C"/>
                <w:sz w:val="22"/>
              </w:rPr>
              <w:t>+3.3%</w:t>
            </w:r>
          </w:p>
        </w:tc>
        <w:tc>
          <w:tcPr>
            <w:tcW w:type="dxa" w:w="1080"/>
          </w:tcPr>
          <w:p>
            <w:r>
              <w:rPr>
                <w:rFonts w:ascii="Calibri" w:hAnsi="Calibri"/>
                <w:sz w:val="22"/>
              </w:rPr>
              <w:t>No FY EBITDA guide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The rising EPS and revenue estimates since the Q1 print (despite no guidance change) are likely driven by copper price appreciation — LME copper has remained elevated, and the Section 232 tariff structure (50% on copper imports) has supported U.S. domestic pricing. The slight decline in Q2 copper volume consensus (-1.3%) vs. the post-Q1 baseline suggests the street has modestly trimmed volume expectations while raising price/margin assumptions.</w:t>
      </w:r>
    </w:p>
    <w:p>
      <w:r>
        <w:rPr>
          <w:rFonts w:ascii="Calibri" w:hAnsi="Calibri"/>
          <w:i/>
          <w:color w:val="525866"/>
          <w:sz w:val="22"/>
        </w:rPr>
        <w:t>Source: Visible Alpha consensus and actuals data. Post-Q1 baseline as of April 28, 2026 (5 trading days after April 23,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FCX has recovered +5.7% since Q1 earnings (vs. SPY +5.5%), but has dramatically outperformed COPX (copper miners ETF, -3.0%) — suggesting FCX-specific re-rating rather than a copper sector tailwind. </w:t>
      </w:r>
      <w:r>
        <w:rPr>
          <w:rFonts w:ascii="Calibri" w:hAnsi="Calibri"/>
          <w:b/>
          <w:color w:val="525866"/>
          <w:sz w:val="22"/>
        </w:rPr>
        <w:t>The recovery appears driven by multiple expansion (copper price optimism + Section 232 tailwind) rather than estimate revisions, which creates risk if Q2 operational execution disappoints.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FCX vs. COPX (Copper Miners ETF) vs. S&amp;P 500 — Indexed to 100 at Q1 2026 Earnings (Apr 23, 2026). Source: Stock Price Data.</w:t>
      </w:r>
    </w:p>
    <w:p>
      <w:pPr>
        <w:pStyle w:val="ListBullet"/>
        <w:ind w:left="360" w:hanging="360"/>
      </w:pPr>
      <w:r>
        <w:rPr>
          <w:rFonts w:ascii="Calibri" w:hAnsi="Calibri"/>
          <w:color w:val="525866"/>
          <w:sz w:val="22"/>
        </w:rPr>
        <w:t>FCX dropped sharply on Q1 earnings day (Apr 23) from ~$70 to ~$61 (-12.6%), then recovered as the market digested the Grasberg operational update.</w:t>
      </w:r>
    </w:p>
    <w:p>
      <w:pPr>
        <w:pStyle w:val="ListBullet"/>
        <w:ind w:left="360" w:hanging="360"/>
      </w:pPr>
      <w:r>
        <w:rPr>
          <w:rFonts w:ascii="Calibri" w:hAnsi="Calibri"/>
          <w:color w:val="525866"/>
          <w:sz w:val="22"/>
        </w:rPr>
        <w:t>FCX and COPX moved in tandem through May, with both rallying to ~115 indexed by late May on copper price strength and constructive sector sentiment.</w:t>
      </w:r>
    </w:p>
    <w:p>
      <w:pPr>
        <w:pStyle w:val="ListBullet"/>
        <w:ind w:left="360" w:hanging="360"/>
      </w:pPr>
      <w:r>
        <w:rPr>
          <w:rFonts w:ascii="Calibri" w:hAnsi="Calibri"/>
          <w:color w:val="525866"/>
          <w:sz w:val="22"/>
        </w:rPr>
        <w:t>Post-June, FCX has held up significantly better than COPX, which has declined to ~97 indexed while FCX sits at ~106 — a ~9 percentage point divergence.</w:t>
      </w:r>
    </w:p>
    <w:p>
      <w:pPr>
        <w:pStyle w:val="ListBullet"/>
        <w:ind w:left="360" w:hanging="360"/>
      </w:pPr>
      <w:r>
        <w:rPr>
          <w:rFonts w:ascii="Calibri" w:hAnsi="Calibri"/>
          <w:color w:val="525866"/>
          <w:sz w:val="22"/>
        </w:rPr>
        <w:t>SPY has been the steadiest performer, up ~5.5% over the period with lower volatility.</w:t>
      </w:r>
    </w:p>
    <w:p>
      <w:pPr>
        <w:pStyle w:val="ListBullet"/>
        <w:ind w:left="360" w:hanging="360"/>
      </w:pPr>
      <w:r>
        <w:rPr>
          <w:rFonts w:ascii="Calibri" w:hAnsi="Calibri"/>
          <w:color w:val="525866"/>
          <w:sz w:val="22"/>
        </w:rPr>
        <w:t>The FCX vs. COPX divergence since late June is notable and suggests FCX-specific factors (Section 232 tariff tailwind, leach initiative optionality, Grasberg recovery story) are driving outperformance vs. the broader copper mining sector.</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b/>
          <w:color w:val="525866"/>
          <w:sz w:val="22"/>
        </w:rPr>
        <w:t xml:space="preserve">Peer commentary from the last 60 days is broadly constructive on copper demand and pricing, with SCCO’s Q2 2026 results (reported today, July 22) providing the most direct read-through — SCCO posted strong Q2 financials (+72% YoY net income) despite a 3.5% YoY volume decline, suggesting price realization is the dominant driver. </w:t>
      </w:r>
      <w:r>
        <w:rPr>
          <w:rFonts w:ascii="Calibri" w:hAnsi="Calibri"/>
          <w:b/>
          <w:color w:val="525866"/>
          <w:sz w:val="22"/>
        </w:rPr>
        <w:t>Cost inflation from diesel and explosives is a sector-wide theme that validates FCX’s cost guidance revision.</w:t>
      </w:r>
    </w:p>
    <w:p>
      <w:pPr>
        <w:pStyle w:val="Heading3"/>
      </w:pPr>
      <w:r>
        <w:rPr>
          <w:rFonts w:ascii="Calibri" w:hAnsi="Calibri"/>
          <w:b/>
          <w:color w:val="3B4259"/>
          <w:sz w:val="24"/>
        </w:rPr>
        <w:t>SCCO — Q2 2026 Earnings (Reported July 22, 2026)</w:t>
      </w:r>
    </w:p>
    <w:p>
      <w:r>
        <w:rPr>
          <w:rFonts w:ascii="Calibri" w:hAnsi="Calibri"/>
          <w:b/>
          <w:color w:val="525866"/>
          <w:sz w:val="22"/>
          <w:u w:val="single"/>
        </w:rPr>
        <w:t>MOST DIRECT READ-THROUGH</w:t>
      </w:r>
    </w:p>
    <w:p>
      <w:r>
        <w:rPr>
          <w:rFonts w:ascii="Calibri" w:hAnsi="Calibri"/>
          <w:color w:val="525866"/>
          <w:sz w:val="22"/>
        </w:rPr>
        <w:t xml:space="preserve">SCCO reported Q2 2026 net income of </w:t>
      </w:r>
      <w:r>
        <w:rPr>
          <w:rFonts w:ascii="Calibri" w:hAnsi="Calibri"/>
          <w:b/>
          <w:color w:val="525866"/>
          <w:sz w:val="22"/>
        </w:rPr>
        <w:t>$1,670M (+72% YoY)</w:t>
      </w:r>
      <w:r>
        <w:rPr>
          <w:rFonts w:ascii="Calibri" w:hAnsi="Calibri"/>
          <w:color w:val="525866"/>
          <w:sz w:val="22"/>
        </w:rPr>
        <w:t xml:space="preserve"> and net income margin of </w:t>
      </w:r>
      <w:r>
        <w:rPr>
          <w:rFonts w:ascii="Calibri" w:hAnsi="Calibri"/>
          <w:b/>
          <w:color w:val="525866"/>
          <w:sz w:val="22"/>
        </w:rPr>
        <w:t>39%</w:t>
      </w:r>
      <w:r>
        <w:rPr>
          <w:rFonts w:ascii="Calibri" w:hAnsi="Calibri"/>
          <w:color w:val="525866"/>
          <w:sz w:val="22"/>
        </w:rPr>
        <w:t xml:space="preserve"> (vs. 32% in Q2 2025), driven by higher net sales and cost control — despite copper production being </w:t>
      </w:r>
      <w:r>
        <w:rPr>
          <w:rFonts w:ascii="Calibri" w:hAnsi="Calibri"/>
          <w:b/>
          <w:color w:val="525866"/>
          <w:sz w:val="22"/>
        </w:rPr>
        <w:t>down 3.5% YoY</w:t>
      </w:r>
      <w:r>
        <w:rPr>
          <w:rFonts w:ascii="Calibri" w:hAnsi="Calibri"/>
          <w:color w:val="525866"/>
          <w:sz w:val="22"/>
        </w:rPr>
        <w:t xml:space="preserve"> due to lower grades. Cash flow from operations for 1H 2026 was $3,683M (+117% YoY). SCCO raised its FY 2026 copper production plan to 917,000 tonnes (from 910,000 tonnes initially). For 2027, production is expected to be “more or less the same” as 2026, with meaningful growth not until 2029 (~970,000 tonnes) and 2030+ (&gt;1M tonnes). SCCO issued $1.25B in 10-year notes (5.35%, due 2036) in June 2026 to fund the Tia Maria project, which is 42% complete with a 2H 2027 startup target. The Peruvian political environment is seen as potentially positive under incoming President Fujimori.</w:t>
      </w:r>
    </w:p>
    <w:p>
      <w:r>
        <w:rPr>
          <w:rFonts w:ascii="Calibri" w:hAnsi="Calibri"/>
          <w:b/>
          <w:color w:val="525866"/>
          <w:sz w:val="22"/>
        </w:rPr>
        <w:t xml:space="preserve">FCX Read-Through: </w:t>
      </w:r>
      <w:r>
        <w:rPr>
          <w:rFonts w:ascii="Calibri" w:hAnsi="Calibri"/>
          <w:color w:val="525866"/>
          <w:sz w:val="22"/>
        </w:rPr>
        <w:t>Strong price realization driving earnings despite volume headwinds is directly applicable to FCX’s Q2 setup. SCCO’s cost control success is a mild positive read-through for FCX’s cost management. The 72% YoY earnings growth on flat-to-down volumes confirms that copper price is the dominant earnings driver this cycle.</w:t>
      </w:r>
    </w:p>
    <w:p>
      <w:pPr>
        <w:pStyle w:val="Heading3"/>
      </w:pPr>
      <w:r>
        <w:rPr>
          <w:rFonts w:ascii="Calibri" w:hAnsi="Calibri"/>
          <w:b/>
          <w:color w:val="3B4259"/>
          <w:sz w:val="24"/>
        </w:rPr>
        <w:t>HBM — Q1 2026 Earnings (Reported May 1, 2026)</w:t>
      </w:r>
    </w:p>
    <w:p>
      <w:r>
        <w:rPr>
          <w:rFonts w:ascii="Calibri" w:hAnsi="Calibri"/>
          <w:color w:val="525866"/>
          <w:sz w:val="22"/>
        </w:rPr>
        <w:t xml:space="preserve">Hudbay reported record Q1 2026 adjusted net earnings of </w:t>
      </w:r>
      <w:r>
        <w:rPr>
          <w:rFonts w:ascii="Calibri" w:hAnsi="Calibri"/>
          <w:b/>
          <w:color w:val="525866"/>
          <w:sz w:val="22"/>
        </w:rPr>
        <w:t>$159M ($0.40/share)</w:t>
      </w:r>
      <w:r>
        <w:rPr>
          <w:rFonts w:ascii="Calibri" w:hAnsi="Calibri"/>
          <w:color w:val="525866"/>
          <w:sz w:val="22"/>
        </w:rPr>
        <w:t xml:space="preserve"> with record low consolidated cash costs of </w:t>
      </w:r>
      <w:r>
        <w:rPr>
          <w:rFonts w:ascii="Calibri" w:hAnsi="Calibri"/>
          <w:b/>
          <w:color w:val="525866"/>
          <w:sz w:val="22"/>
        </w:rPr>
        <w:t>-$1.80/lb copper</w:t>
      </w:r>
      <w:r>
        <w:rPr>
          <w:rFonts w:ascii="Calibri" w:hAnsi="Calibri"/>
          <w:color w:val="525866"/>
          <w:sz w:val="22"/>
        </w:rPr>
        <w:t xml:space="preserve"> (driven by gold byproduct credits). All operations on track for 2026 production and cost guidance. Key cost pressure: oil prices </w:t>
      </w:r>
      <w:r>
        <w:rPr>
          <w:rFonts w:ascii="Calibri" w:hAnsi="Calibri"/>
          <w:b/>
          <w:color w:val="525866"/>
          <w:sz w:val="22"/>
        </w:rPr>
        <w:t>~50% above budget</w:t>
      </w:r>
      <w:r>
        <w:rPr>
          <w:rFonts w:ascii="Calibri" w:hAnsi="Calibri"/>
          <w:color w:val="525866"/>
          <w:sz w:val="22"/>
        </w:rPr>
        <w:t>, representing a ~$45M cash flow headwind if sustained, but gold prices ~20% above budget provide a ~$200M natural hedge. A $10/barrel oil increase = ~$0.04/lb cost increase in Peru and ~$0.10/lb in British Columbia. Manitoba operations largely insulated from oil price due to electric/battery underground equipment. Production weighted to 2H 2026 across all segments.</w:t>
      </w:r>
    </w:p>
    <w:p>
      <w:r>
        <w:rPr>
          <w:rFonts w:ascii="Calibri" w:hAnsi="Calibri"/>
          <w:b/>
          <w:color w:val="525866"/>
          <w:sz w:val="22"/>
        </w:rPr>
        <w:t xml:space="preserve">FCX Read-Through: </w:t>
      </w:r>
      <w:r>
        <w:rPr>
          <w:rFonts w:ascii="Calibri" w:hAnsi="Calibri"/>
          <w:color w:val="525866"/>
          <w:sz w:val="22"/>
        </w:rPr>
        <w:t>The oil price sensitivity quantification ($0.04–0.10/lb per $10/barrel) is directly relevant to FCX’s cost guidance — FCX flagged a ~$500M annualized cost increase from the March diesel price spike. HBM’s gold hedge dynamic (higher gold prices offsetting diesel costs) is also relevant to FCX’s Indonesia operations where gold is a significant byproduct.</w:t>
      </w:r>
    </w:p>
    <w:p>
      <w:pPr>
        <w:pStyle w:val="Heading3"/>
      </w:pPr>
      <w:r>
        <w:rPr>
          <w:rFonts w:ascii="Calibri" w:hAnsi="Calibri"/>
          <w:b/>
          <w:color w:val="3B4259"/>
          <w:sz w:val="24"/>
        </w:rPr>
        <w:t>TGB — Q1 2026 Earnings (Reported May 7, 2026)</w:t>
      </w:r>
    </w:p>
    <w:p>
      <w:r>
        <w:rPr>
          <w:rFonts w:ascii="Calibri" w:hAnsi="Calibri"/>
          <w:color w:val="525866"/>
          <w:sz w:val="22"/>
        </w:rPr>
        <w:t xml:space="preserve">Taseko reported LME copper averaged </w:t>
      </w:r>
      <w:r>
        <w:rPr>
          <w:rFonts w:ascii="Calibri" w:hAnsi="Calibri"/>
          <w:b/>
          <w:color w:val="525866"/>
          <w:sz w:val="22"/>
        </w:rPr>
        <w:t>~$5.83/lb in Q1 2026</w:t>
      </w:r>
      <w:r>
        <w:rPr>
          <w:rFonts w:ascii="Calibri" w:hAnsi="Calibri"/>
          <w:color w:val="525866"/>
          <w:sz w:val="22"/>
        </w:rPr>
        <w:t xml:space="preserve">. Diesel prices increased ~CAD $0.50/liter vs. prior year (~USD $0.15/lb copper impact at Gibraltar). Explosives costs also elevated due to U.S. ammonium nitrate plant outage. Gibraltar C1 cash costs rose to </w:t>
      </w:r>
      <w:r>
        <w:rPr>
          <w:rFonts w:ascii="Calibri" w:hAnsi="Calibri"/>
          <w:b/>
          <w:color w:val="525866"/>
          <w:sz w:val="22"/>
        </w:rPr>
        <w:t>$2.63/lb (+6% QoQ)</w:t>
      </w:r>
      <w:r>
        <w:rPr>
          <w:rFonts w:ascii="Calibri" w:hAnsi="Calibri"/>
          <w:color w:val="525866"/>
          <w:sz w:val="22"/>
        </w:rPr>
        <w:t>. Florence Copper achieved first production in late February 2026, with 1.5M lbs harvested in Q1; targeting 30–35M lbs for FY 2026, weighted to 2H.</w:t>
      </w:r>
    </w:p>
    <w:p>
      <w:r>
        <w:rPr>
          <w:rFonts w:ascii="Calibri" w:hAnsi="Calibri"/>
          <w:b/>
          <w:color w:val="525866"/>
          <w:sz w:val="22"/>
        </w:rPr>
        <w:t xml:space="preserve">FCX Read-Through: </w:t>
      </w:r>
      <w:r>
        <w:rPr>
          <w:rFonts w:ascii="Calibri" w:hAnsi="Calibri"/>
          <w:color w:val="525866"/>
          <w:sz w:val="22"/>
        </w:rPr>
        <w:t>Diesel cost inflation of ~$0.15/lb at a smaller operation validates FCX’s flagged ~$500M annualized diesel cost headwind. The ammonium nitrate shortage (explosives) is a sector-wide cost pressure not yet explicitly called out by FCX — watch for any commentary on this in Q2.</w:t>
      </w:r>
    </w:p>
    <w:p>
      <w:pPr>
        <w:pStyle w:val="Heading3"/>
      </w:pPr>
      <w:r>
        <w:rPr>
          <w:rFonts w:ascii="Calibri" w:hAnsi="Calibri"/>
          <w:b/>
          <w:color w:val="3B4259"/>
          <w:sz w:val="24"/>
        </w:rPr>
        <w:t>BHP — BofA Global Metals Conference (May 12, 2026)</w:t>
      </w:r>
    </w:p>
    <w:p>
      <w:r>
        <w:rPr>
          <w:rFonts w:ascii="Calibri" w:hAnsi="Calibri"/>
          <w:color w:val="525866"/>
          <w:sz w:val="22"/>
        </w:rPr>
        <w:t xml:space="preserve">BHP CEO-elect Brandon Craig stated the company is </w:t>
      </w:r>
      <w:r>
        <w:rPr>
          <w:rFonts w:ascii="Calibri" w:hAnsi="Calibri"/>
          <w:b/>
          <w:color w:val="525866"/>
          <w:sz w:val="22"/>
        </w:rPr>
        <w:t>“very bullish copper”</w:t>
      </w:r>
      <w:r>
        <w:rPr>
          <w:rFonts w:ascii="Calibri" w:hAnsi="Calibri"/>
          <w:color w:val="525866"/>
          <w:sz w:val="22"/>
        </w:rPr>
        <w:t xml:space="preserve"> and sees “a very strong demand profile over the next decade.” BHP increased copper production guidance for the next two years </w:t>
      </w:r>
      <w:r>
        <w:rPr>
          <w:rFonts w:ascii="Calibri" w:hAnsi="Calibri"/>
          <w:b/>
          <w:color w:val="525866"/>
          <w:sz w:val="22"/>
        </w:rPr>
        <w:t>“at a time when supply across the sector remains constrained and peers have revised their production expectations downwards”</w:t>
      </w:r>
      <w:r>
        <w:rPr>
          <w:rFonts w:ascii="Calibri" w:hAnsi="Calibri"/>
          <w:color w:val="525866"/>
          <w:sz w:val="22"/>
        </w:rPr>
        <w:t xml:space="preserve"> — a direct reference to FCX’s Grasberg cuts. Middle East conflict translates to “a pricing impact rather than a supply chain risk” for BHP, with $1/barrel diesel = ~$10M EBITDA impact. BHP targets 2M tonnes/year copper production by 2035 (from ~1.7M currently), with 5% annual growth in copper.</w:t>
      </w:r>
    </w:p>
    <w:p>
      <w:r>
        <w:rPr>
          <w:rFonts w:ascii="Calibri" w:hAnsi="Calibri"/>
          <w:b/>
          <w:color w:val="525866"/>
          <w:sz w:val="22"/>
        </w:rPr>
        <w:t xml:space="preserve">FCX Read-Through: </w:t>
      </w:r>
      <w:r>
        <w:rPr>
          <w:rFonts w:ascii="Calibri" w:hAnsi="Calibri"/>
          <w:color w:val="525866"/>
          <w:sz w:val="22"/>
        </w:rPr>
        <w:t>BHP’s explicit reference to peers cutting production while BHP raises guidance is a direct read-through to FCX’s Grasberg situation. The bullish copper demand outlook supports FCX’s long-term volume recovery thesis. BHP’s framing of Middle East disruptions as a “pricing impact” (not supply chain risk) is consistent with FCX’s cost headwind narrative.</w:t>
      </w:r>
    </w:p>
    <w:p>
      <w:pPr>
        <w:pStyle w:val="Heading3"/>
      </w:pPr>
      <w:r>
        <w:rPr>
          <w:rFonts w:ascii="Calibri" w:hAnsi="Calibri"/>
          <w:b/>
          <w:color w:val="3B4259"/>
          <w:sz w:val="24"/>
        </w:rPr>
        <w:t>RIO — BofA Global Metals Conference (May 12, 2026)</w:t>
      </w:r>
    </w:p>
    <w:p>
      <w:r>
        <w:rPr>
          <w:rFonts w:ascii="Calibri" w:hAnsi="Calibri"/>
          <w:color w:val="525866"/>
          <w:sz w:val="22"/>
        </w:rPr>
        <w:t xml:space="preserve">Rio Tinto described copper prices as </w:t>
      </w:r>
      <w:r>
        <w:rPr>
          <w:rFonts w:ascii="Calibri" w:hAnsi="Calibri"/>
          <w:b/>
          <w:color w:val="525866"/>
          <w:sz w:val="22"/>
        </w:rPr>
        <w:t>“fairly robust”</w:t>
      </w:r>
      <w:r>
        <w:rPr>
          <w:rFonts w:ascii="Calibri" w:hAnsi="Calibri"/>
          <w:color w:val="525866"/>
          <w:sz w:val="22"/>
        </w:rPr>
        <w:t xml:space="preserve"> and highlighted </w:t>
      </w:r>
      <w:r>
        <w:rPr>
          <w:rFonts w:ascii="Calibri" w:hAnsi="Calibri"/>
          <w:b/>
          <w:color w:val="525866"/>
          <w:sz w:val="22"/>
        </w:rPr>
        <w:t>11% copper production growth YoY in 2025</w:t>
      </w:r>
      <w:r>
        <w:rPr>
          <w:rFonts w:ascii="Calibri" w:hAnsi="Calibri"/>
          <w:color w:val="525866"/>
          <w:sz w:val="22"/>
        </w:rPr>
        <w:t xml:space="preserve"> with a further 13% through 2030. Oyu Tolgoi (Mongolia) ramp-up is progressing well, targeting 500,000 tonnes by 2028. Kennecott (U.S.) targeting 40–50% production growth through 2028. Resolution copper project (U.S.) cleared a key Ninth Circuit ruling on land exchange. RIO noted that “one of the reasons on the supply side that is restricted has been just how long it takes to get projects permitted.”</w:t>
      </w:r>
    </w:p>
    <w:p>
      <w:r>
        <w:rPr>
          <w:rFonts w:ascii="Calibri" w:hAnsi="Calibri"/>
          <w:b/>
          <w:color w:val="525866"/>
          <w:sz w:val="22"/>
        </w:rPr>
        <w:t xml:space="preserve">FCX Read-Through: </w:t>
      </w:r>
      <w:r>
        <w:rPr>
          <w:rFonts w:ascii="Calibri" w:hAnsi="Calibri"/>
          <w:color w:val="525866"/>
          <w:sz w:val="22"/>
        </w:rPr>
        <w:t>RIO’s constructive copper price view and supply constraint commentary supports FCX’s pricing environment. The permitting difficulty commentary is relevant to FCX’s El Abra expansion and Bagdad 2X projects. RIO’s Kennecott U.S. growth story is a reminder that U.S. copper supply growth is a multi-year theme that benefits FCX’s domestic operations.</w:t>
      </w:r>
    </w:p>
    <w:p>
      <w:pPr>
        <w:pStyle w:val="Heading3"/>
      </w:pPr>
      <w:r>
        <w:rPr>
          <w:rFonts w:ascii="Calibri" w:hAnsi="Calibri"/>
          <w:b/>
          <w:color w:val="3B4259"/>
          <w:sz w:val="24"/>
        </w:rPr>
        <w:t>Section 232 Tariff Update — June 1, 2026 Proclamation (Effective June 8, 2026)</w:t>
      </w:r>
    </w:p>
    <w:p>
      <w:r>
        <w:rPr>
          <w:rFonts w:ascii="Calibri" w:hAnsi="Calibri"/>
          <w:color w:val="525866"/>
          <w:sz w:val="22"/>
        </w:rPr>
        <w:t xml:space="preserve">President Trump signed a proclamation on June 1, 2026 further modifying Section 232 tariffs on copper (and steel/aluminum). Key changes effective June 8, 2026: (1) The </w:t>
      </w:r>
      <w:r>
        <w:rPr>
          <w:rFonts w:ascii="Calibri" w:hAnsi="Calibri"/>
          <w:b/>
          <w:color w:val="525866"/>
          <w:sz w:val="22"/>
        </w:rPr>
        <w:t>50% ad valorem tariff on core copper articles remains in place</w:t>
      </w:r>
      <w:r>
        <w:rPr>
          <w:rFonts w:ascii="Calibri" w:hAnsi="Calibri"/>
          <w:color w:val="525866"/>
          <w:sz w:val="22"/>
        </w:rPr>
        <w:t xml:space="preserve">; (2) The U.S.-origin metal content threshold for the reduced 10% tariff rate was </w:t>
      </w:r>
      <w:r>
        <w:rPr>
          <w:rFonts w:ascii="Calibri" w:hAnsi="Calibri"/>
          <w:b/>
          <w:color w:val="525866"/>
          <w:sz w:val="22"/>
        </w:rPr>
        <w:t>permanently lowered from 95% to 85% by weight</w:t>
      </w:r>
      <w:r>
        <w:rPr>
          <w:rFonts w:ascii="Calibri" w:hAnsi="Calibri"/>
          <w:color w:val="525866"/>
          <w:sz w:val="22"/>
        </w:rPr>
        <w:t xml:space="preserve"> — making it easier for products using U.S.-smelted copper to qualify for the lower rate; (3) Certain derivative product categories received temporary rate reductions (to 15%) through December 31, 2027.</w:t>
      </w:r>
    </w:p>
    <w:p>
      <w:r>
        <w:rPr>
          <w:rFonts w:ascii="Calibri" w:hAnsi="Calibri"/>
          <w:b/>
          <w:color w:val="525866"/>
          <w:sz w:val="22"/>
        </w:rPr>
        <w:t xml:space="preserve">FCX Read-Through: </w:t>
      </w:r>
      <w:r>
        <w:rPr>
          <w:rFonts w:ascii="Calibri" w:hAnsi="Calibri"/>
          <w:color w:val="525866"/>
          <w:sz w:val="22"/>
        </w:rPr>
        <w:t>The maintained 50% tariff on copper imports continues to support U.S. domestic copper pricing, benefiting FCX’s North American operations. The lowered 85% threshold for U.S.-origin content could benefit FCX’s Atlantic Copper smelter operations and downstream customers. FCX has not yet quantified the full Section 232 benefit in guidance — this remains a potential upside catalyst for Q2 commentary.</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 xml:space="preserve">The most material post-Q1 development is the Section 232 tariff modification (June 1, 2026), which maintains the 50% copper import tariff and could provide an unquantified tailwind to FCX’s U.S. operations. </w:t>
      </w:r>
      <w:r>
        <w:rPr>
          <w:rFonts w:ascii="Calibri" w:hAnsi="Calibri"/>
          <w:b/>
          <w:color w:val="525866"/>
          <w:sz w:val="22"/>
        </w:rPr>
        <w:t>The dividend declaration ($0.15/share total, payable August 3) signals management confidence in near-term cash generation despite the Grasberg setback.</w:t>
      </w:r>
    </w:p>
    <w:p>
      <w:pPr>
        <w:pStyle w:val="ListBullet"/>
        <w:ind w:left="360" w:hanging="360"/>
      </w:pPr>
      <w:r>
        <w:rPr>
          <w:rFonts w:ascii="Calibri" w:hAnsi="Calibri"/>
          <w:b/>
          <w:color w:val="525866"/>
          <w:sz w:val="22"/>
        </w:rPr>
        <w:t xml:space="preserve">July 22, 2026 — SCCO Q2 2026 Earnings (Peer Read-Through): </w:t>
      </w:r>
      <w:r>
        <w:rPr>
          <w:rFonts w:ascii="Calibri" w:hAnsi="Calibri"/>
          <w:color w:val="525866"/>
          <w:sz w:val="22"/>
        </w:rPr>
        <w:t>SCCO reported Q2 net income +72% YoY to $1,670M on strong price realization despite -3.5% volume decline; positive read-through for FCX’s pricing environment heading into its own Q2 print today.</w:t>
      </w:r>
    </w:p>
    <w:p>
      <w:pPr>
        <w:pStyle w:val="ListBullet"/>
        <w:ind w:left="360" w:hanging="360"/>
      </w:pPr>
      <w:r>
        <w:rPr>
          <w:rFonts w:ascii="Calibri" w:hAnsi="Calibri"/>
          <w:b/>
          <w:color w:val="525866"/>
          <w:sz w:val="22"/>
        </w:rPr>
        <w:t xml:space="preserve">June 24, 2026 — Quarterly Dividend Declared: </w:t>
      </w:r>
      <w:r>
        <w:rPr>
          <w:rFonts w:ascii="Calibri" w:hAnsi="Calibri"/>
          <w:color w:val="525866"/>
          <w:sz w:val="22"/>
        </w:rPr>
        <w:t>FCX declared $0.15/share total cash dividend ($0.075 base + $0.075 variable), payable August 3, 2026 to shareholders of record July 15. Signals management confidence in cash generation under the performance-based payout framework despite Grasberg headwinds.</w:t>
      </w:r>
    </w:p>
    <w:p>
      <w:pPr>
        <w:pStyle w:val="ListBullet"/>
        <w:ind w:left="360" w:hanging="360"/>
      </w:pPr>
      <w:r>
        <w:rPr>
          <w:rFonts w:ascii="Calibri" w:hAnsi="Calibri"/>
          <w:b/>
          <w:color w:val="525866"/>
          <w:sz w:val="22"/>
        </w:rPr>
        <w:t xml:space="preserve">June 1, 2026 — Section 232 Tariff Modification (Effective June 8): </w:t>
      </w:r>
      <w:r>
        <w:rPr>
          <w:rFonts w:ascii="Calibri" w:hAnsi="Calibri"/>
          <w:color w:val="525866"/>
          <w:sz w:val="22"/>
        </w:rPr>
        <w:t>Trump administration maintained 50% tariff on copper imports and lowered U.S.-origin content threshold from 95% to 85% for reduced 10% rate. Implication: Continued structural support for U.S. domestic copper pricing; FCX has not quantified the benefit in guidance — potential upside catalyst.</w:t>
      </w:r>
    </w:p>
    <w:p>
      <w:pPr>
        <w:pStyle w:val="ListBullet"/>
        <w:ind w:left="360" w:hanging="360"/>
      </w:pPr>
      <w:r>
        <w:rPr>
          <w:rFonts w:ascii="Calibri" w:hAnsi="Calibri"/>
          <w:b/>
          <w:color w:val="525866"/>
          <w:sz w:val="22"/>
        </w:rPr>
        <w:t xml:space="preserve">May 12, 2026 — BHP &amp; RIO at BofA Global Metals Conference: </w:t>
      </w:r>
      <w:r>
        <w:rPr>
          <w:rFonts w:ascii="Calibri" w:hAnsi="Calibri"/>
          <w:color w:val="525866"/>
          <w:sz w:val="22"/>
        </w:rPr>
        <w:t>Both major miners expressed bullish copper demand views; BHP explicitly noted peers cutting production while BHP raises guidance — validating FCX’s Grasberg disruption as part of a sector-wide supply constraint pattern. Constructive for copper pricing.</w:t>
      </w:r>
    </w:p>
    <w:p>
      <w:pPr>
        <w:pStyle w:val="ListBullet"/>
        <w:ind w:left="360" w:hanging="360"/>
      </w:pPr>
      <w:r>
        <w:rPr>
          <w:rFonts w:ascii="Calibri" w:hAnsi="Calibri"/>
          <w:b/>
          <w:color w:val="525866"/>
          <w:sz w:val="22"/>
        </w:rPr>
        <w:t xml:space="preserve">May 2026 — Analyst Rating/PT Changes: </w:t>
      </w:r>
      <w:r>
        <w:rPr>
          <w:rFonts w:ascii="Calibri" w:hAnsi="Calibri"/>
          <w:color w:val="525866"/>
          <w:sz w:val="22"/>
        </w:rPr>
        <w:t>Wells Fargo cut PT from $77 to $68 (maintained Overweight, Apr 24); Raymond James cut PT from $72 to $68 (maintained Outperform, Apr 24); Barclays initiated at Overweight with $77 PT (May 21); Scotiabank raised PT from $67 to $77 (Sector Outperform, Jun 15); Bernstein raised PT from $53.50 to $58.50 (Market Perform, Jun 10). Consensus target ~$68.63 with Moderate Buy rating (17 Buy, 4 Hold, 2 Strong Buy).</w:t>
      </w:r>
    </w:p>
    <w:p>
      <w:pPr>
        <w:pStyle w:val="ListBullet"/>
        <w:ind w:left="360" w:hanging="360"/>
      </w:pPr>
      <w:r>
        <w:rPr>
          <w:rFonts w:ascii="Calibri" w:hAnsi="Calibri"/>
          <w:b/>
          <w:color w:val="525866"/>
          <w:sz w:val="22"/>
        </w:rPr>
        <w:t xml:space="preserve">April 23, 2026 — Q1 2026 Earnings (Last Print): </w:t>
      </w:r>
      <w:r>
        <w:rPr>
          <w:rFonts w:ascii="Calibri" w:hAnsi="Calibri"/>
          <w:color w:val="525866"/>
          <w:sz w:val="22"/>
        </w:rPr>
        <w:t>Beat on EPS ($0.57 vs. $0.47 consensus) and revenue ($6.23B vs. $5.85B consensus), but stock fell ~12.6% on material Grasberg production guidance cut (copper -9%, gold -7% vs. prior 5-year plan; unit costs raised to $1.95/lb). Wet ore ratio at Grasberg increased from 30% to 45% of draw points, requiring specialized chute regulator equipment installation through mid-2027.</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All insider transactions since Q1 earnings are compensation-related stock awards (transaction code ‘A’) — there are no open-market buys or sells to flag. </w:t>
      </w:r>
      <w:r>
        <w:rPr>
          <w:rFonts w:ascii="Calibri" w:hAnsi="Calibri"/>
          <w:b/>
          <w:color w:val="525866"/>
          <w:sz w:val="22"/>
        </w:rPr>
        <w:t>The absence of discretionary insider buying or selling is neutral; no signal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David P. Abney</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Marcela E. Donadio</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Hugh Grant</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Lydia H. Kennard</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Ryan Michael Lance</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Sara Grootwassink Lewis</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Dustan E. McCoy</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John Joseph Stephens</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Frances F. Townsend</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2,800</w:t>
            </w:r>
          </w:p>
        </w:tc>
        <w:tc>
          <w:tcPr>
            <w:tcW w:type="dxa" w:w="1440"/>
          </w:tcPr>
          <w:p>
            <w:r>
              <w:rPr>
                <w:rFonts w:ascii="Calibri" w:hAnsi="Calibri"/>
                <w:sz w:val="22"/>
              </w:rPr>
              <w:t>June 1, 2026</w:t>
            </w:r>
          </w:p>
        </w:tc>
        <w:tc>
          <w:tcPr>
            <w:tcW w:type="dxa" w:w="1440"/>
          </w:tcPr>
          <w:p>
            <w:r>
              <w:rPr>
                <w:rFonts w:ascii="Calibri" w:hAnsi="Calibri"/>
                <w:sz w:val="22"/>
              </w:rPr>
              <w:t>Annual director compensation award; not open-market</w:t>
            </w:r>
          </w:p>
        </w:tc>
      </w:tr>
      <w:tr>
        <w:tc>
          <w:tcPr>
            <w:tcW w:type="dxa" w:w="1440"/>
          </w:tcPr>
          <w:p>
            <w:r>
              <w:rPr>
                <w:rFonts w:ascii="Calibri" w:hAnsi="Calibri"/>
                <w:sz w:val="22"/>
              </w:rPr>
              <w:t>Hugh Grant</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536</w:t>
            </w:r>
          </w:p>
        </w:tc>
        <w:tc>
          <w:tcPr>
            <w:tcW w:type="dxa" w:w="1440"/>
          </w:tcPr>
          <w:p>
            <w:r>
              <w:rPr>
                <w:rFonts w:ascii="Calibri" w:hAnsi="Calibri"/>
                <w:sz w:val="22"/>
              </w:rPr>
              <w:t>July 1, 2026</w:t>
            </w:r>
          </w:p>
        </w:tc>
        <w:tc>
          <w:tcPr>
            <w:tcW w:type="dxa" w:w="1440"/>
          </w:tcPr>
          <w:p>
            <w:r>
              <w:rPr>
                <w:rFonts w:ascii="Calibri" w:hAnsi="Calibri"/>
                <w:sz w:val="22"/>
              </w:rPr>
              <w:t>Supplemental compensation award; not open-market</w:t>
            </w:r>
          </w:p>
        </w:tc>
      </w:tr>
      <w:tr>
        <w:tc>
          <w:tcPr>
            <w:tcW w:type="dxa" w:w="1440"/>
          </w:tcPr>
          <w:p>
            <w:r>
              <w:rPr>
                <w:rFonts w:ascii="Calibri" w:hAnsi="Calibri"/>
                <w:sz w:val="22"/>
              </w:rPr>
              <w:t>John Joseph Stephens</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327</w:t>
            </w:r>
          </w:p>
        </w:tc>
        <w:tc>
          <w:tcPr>
            <w:tcW w:type="dxa" w:w="1440"/>
          </w:tcPr>
          <w:p>
            <w:r>
              <w:rPr>
                <w:rFonts w:ascii="Calibri" w:hAnsi="Calibri"/>
                <w:sz w:val="22"/>
              </w:rPr>
              <w:t>July 1, 2026</w:t>
            </w:r>
          </w:p>
        </w:tc>
        <w:tc>
          <w:tcPr>
            <w:tcW w:type="dxa" w:w="1440"/>
          </w:tcPr>
          <w:p>
            <w:r>
              <w:rPr>
                <w:rFonts w:ascii="Calibri" w:hAnsi="Calibri"/>
                <w:sz w:val="22"/>
              </w:rPr>
              <w:t>Supplemental compensation award; not open-market</w:t>
            </w:r>
          </w:p>
        </w:tc>
      </w:tr>
    </w:tbl>
    <w:p>
      <w:r>
        <w:rPr>
          <w:rFonts w:ascii="Calibri" w:hAnsi="Calibri"/>
          <w:i/>
          <w:color w:val="525866"/>
          <w:sz w:val="22"/>
        </w:rPr>
        <w:t>All transactions are compensation awards (Form 4 code ‘A’), not open-market purchases or sales. No discretionary insider buying or selling has occurred since Q1 2026 earnings. This is neutral — neither a bullish nor bearish signal. No 10b5-1 plan initiations or terminations were filed in the period.</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