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fcx-earnings-predictions--2026-07-23"/>
    <w:p>
      <w:pPr>
        <w:pStyle w:val="Heading1"/>
      </w:pPr>
      <w:r>
        <w:t xml:space="preserve">FCX Earnings Predictions — 2026-07-23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FCX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diluted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~$0.60 vs. cons $0.585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FCX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~$6.80B vs. cons $6.722B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FCX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Copper sales volume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~700M lbs vs. cons 691.3M lbs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FCX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copper sales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~3.1B lbs vs. cons 3.093B lbs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FCX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gold sales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~650K oz vs. cons 659.7K oz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FCX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Grasberg 2H26 throughput / ramp</w:t>
            </w:r>
          </w:p>
        </w:tc>
        <w:tc>
          <w:tcPr/>
          <w:p>
            <w:pPr>
              <w:pStyle w:val="Compact"/>
            </w:pPr>
            <w:r>
              <w:t xml:space="preserve">UNKNOWN</w:t>
            </w:r>
          </w:p>
        </w:tc>
        <w:tc>
          <w:tcPr/>
          <w:p>
            <w:pPr>
              <w:pStyle w:val="Compact"/>
            </w:pPr>
            <w:r>
              <w:t xml:space="preserve">guide ~60-65% capacity; no reliable consensus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FCX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FCX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-3.0%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unchanged out-period framework should dominate after the initial relief reaction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2026-07-25T02:02:03Z</dcterms:created>
  <dcterms:modified xsi:type="dcterms:W3CDTF">2026-07-25T02:02:03Z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