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Freeport-McMoRan (FCX) — Q2 2026 Earnings Preview</w:t>
      </w:r>
    </w:p>
    <w:p>
      <w:r>
        <w:rPr>
          <w:rFonts w:ascii="Calibri" w:hAnsi="Calibri"/>
          <w:b/>
          <w:color w:val="525866"/>
          <w:sz w:val="22"/>
        </w:rPr>
        <w:t xml:space="preserve">Earnings Date: </w:t>
      </w:r>
      <w:r>
        <w:rPr>
          <w:rFonts w:ascii="Calibri" w:hAnsi="Calibri"/>
          <w:color w:val="525866"/>
          <w:sz w:val="22"/>
        </w:rPr>
        <w:t xml:space="preserve">July 23, 2026  </w:t>
      </w:r>
      <w:r>
        <w:rPr>
          <w:rFonts w:ascii="Calibri" w:hAnsi="Calibri"/>
          <w:b/>
          <w:color w:val="525866"/>
          <w:sz w:val="22"/>
        </w:rPr>
        <w:t xml:space="preserve">| Prepared: </w:t>
      </w:r>
      <w:r>
        <w:rPr>
          <w:rFonts w:ascii="Calibri" w:hAnsi="Calibri"/>
          <w:color w:val="525866"/>
          <w:sz w:val="22"/>
        </w:rPr>
        <w:t xml:space="preserve">July 22, 2026  </w:t>
      </w:r>
      <w:r>
        <w:rPr>
          <w:rFonts w:ascii="Calibri" w:hAnsi="Calibri"/>
          <w:b/>
          <w:color w:val="525866"/>
          <w:sz w:val="22"/>
        </w:rPr>
        <w:t xml:space="preserve">| Reporting Period: </w:t>
      </w:r>
      <w:r>
        <w:rPr>
          <w:rFonts w:ascii="Calibri" w:hAnsi="Calibri"/>
          <w:color w:val="525866"/>
          <w:sz w:val="22"/>
        </w:rPr>
        <w:t>Q2 2026 (quarter ended June 30,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is a </w:t>
      </w:r>
      <w:r>
        <w:rPr>
          <w:rFonts w:ascii="Calibri" w:hAnsi="Calibri"/>
          <w:b/>
          <w:color w:val="525866"/>
          <w:sz w:val="22"/>
        </w:rPr>
        <w:t>modest beat on financials</w:t>
      </w:r>
      <w:r>
        <w:rPr>
          <w:rFonts w:ascii="Calibri" w:hAnsi="Calibri"/>
          <w:color w:val="525866"/>
          <w:sz w:val="22"/>
        </w:rPr>
        <w:t xml:space="preserve"> against a low bar, but the market will be laser-focused on </w:t>
      </w:r>
      <w:r>
        <w:rPr>
          <w:rFonts w:ascii="Calibri" w:hAnsi="Calibri"/>
          <w:b/>
          <w:color w:val="525866"/>
          <w:sz w:val="22"/>
        </w:rPr>
        <w:t>Grasberg ramp-up progress</w:t>
      </w:r>
      <w:r>
        <w:rPr>
          <w:rFonts w:ascii="Calibri" w:hAnsi="Calibri"/>
          <w:color w:val="525866"/>
          <w:sz w:val="22"/>
        </w:rPr>
        <w:t xml:space="preserve"> — any slippage from the 60,000 tpd H2 target or cost guidance creep could overwhelm a clean financial print.</w:t>
      </w:r>
    </w:p>
    <w:p>
      <w:r>
        <w:rPr>
          <w:rFonts w:ascii="Calibri" w:hAnsi="Calibri"/>
          <w:color w:val="525866"/>
          <w:sz w:val="22"/>
        </w:rPr>
        <w:t xml:space="preserve">Heading into Q2 2026 earnings, FCX faces a </w:t>
      </w:r>
      <w:r>
        <w:rPr>
          <w:rFonts w:ascii="Calibri" w:hAnsi="Calibri"/>
          <w:b/>
          <w:color w:val="525866"/>
          <w:sz w:val="22"/>
        </w:rPr>
        <w:t>low financial bar</w:t>
      </w:r>
      <w:r>
        <w:rPr>
          <w:rFonts w:ascii="Calibri" w:hAnsi="Calibri"/>
          <w:color w:val="525866"/>
          <w:sz w:val="22"/>
        </w:rPr>
        <w:t xml:space="preserve"> — consensus EPS of ~$0.59 and revenue of ~$6.7B reflect the revised, post-Q1 guidance that already baked in Grasberg's material handling bottleneck and higher unit costs (~$1.95/lb for the full year). Management's tone since the April 23 print has been consistent: the Grasberg delay is a </w:t>
      </w:r>
      <w:r>
        <w:rPr>
          <w:rFonts w:ascii="Calibri" w:hAnsi="Calibri"/>
          <w:b/>
          <w:color w:val="525866"/>
          <w:sz w:val="22"/>
        </w:rPr>
        <w:t>timing issue with an engineered solution</w:t>
      </w:r>
      <w:r>
        <w:rPr>
          <w:rFonts w:ascii="Calibri" w:hAnsi="Calibri"/>
          <w:color w:val="525866"/>
          <w:sz w:val="22"/>
        </w:rPr>
        <w:t xml:space="preserve">, not a resource impairment, and the company reiterated 60–65% capacity in H2 2026, ~80% by mid-2027, and full capacity by end-2027. Estimate revisions have been </w:t>
      </w:r>
      <w:r>
        <w:rPr>
          <w:rFonts w:ascii="Calibri" w:hAnsi="Calibri"/>
          <w:b/>
          <w:color w:val="525866"/>
          <w:sz w:val="22"/>
        </w:rPr>
        <w:t>modestly positive</w:t>
      </w:r>
      <w:r>
        <w:rPr>
          <w:rFonts w:ascii="Calibri" w:hAnsi="Calibri"/>
          <w:color w:val="525866"/>
          <w:sz w:val="22"/>
        </w:rPr>
        <w:t xml:space="preserve"> since the Q1 print — Q2 EPS consensus has drifted up from ~$0.53 to ~$0.59 — driven by copper prices that hit a record ~$6.39/lb in mid-May before settling near $5.90/lb, well above the levels embedded in guidance. The stock has underperformed XME since earnings (FCX −12% vs. XME −15% indexed), suggesting the market has partially de-risked the Grasberg story but not fully re-rated it. The </w:t>
      </w:r>
      <w:r>
        <w:rPr>
          <w:rFonts w:ascii="Calibri" w:hAnsi="Calibri"/>
          <w:b/>
          <w:color w:val="525866"/>
          <w:sz w:val="22"/>
        </w:rPr>
        <w:t>key wildcard</w:t>
      </w:r>
      <w:r>
        <w:rPr>
          <w:rFonts w:ascii="Calibri" w:hAnsi="Calibri"/>
          <w:color w:val="525866"/>
          <w:sz w:val="22"/>
        </w:rPr>
        <w:t xml:space="preserve"> is the $700M insurance recovery expected to be collected in Q2 — if recognized in the quarter, it provides a meaningful one-time boost to reported cash flow and could shift sentiment; separately, any update on the leach initiative's heat-injection results at Morenci (expected in H2) could serve as a positive catalyst.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low bar on volumes</w:t>
      </w:r>
      <w:r>
        <w:rPr>
          <w:rFonts w:ascii="Calibri" w:hAnsi="Calibri"/>
          <w:color w:val="525866"/>
          <w:sz w:val="22"/>
        </w:rPr>
        <w:t xml:space="preserve"> given the Grasberg bottleneck, but </w:t>
      </w:r>
      <w:r>
        <w:rPr>
          <w:rFonts w:ascii="Calibri" w:hAnsi="Calibri"/>
          <w:b/>
          <w:color w:val="525866"/>
          <w:sz w:val="22"/>
        </w:rPr>
        <w:t>copper price realization</w:t>
      </w:r>
      <w:r>
        <w:rPr>
          <w:rFonts w:ascii="Calibri" w:hAnsi="Calibri"/>
          <w:color w:val="525866"/>
          <w:sz w:val="22"/>
        </w:rPr>
        <w:t xml:space="preserve"> is the bigger swing factor — spot copper near $5.90/lb vs. the ~$4.50–4.80/lb embedded in prior guidance creates meaningful upside optionality on revenue and EPS.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 Est.</w:t>
            </w:r>
          </w:p>
        </w:tc>
        <w:tc>
          <w:tcPr>
            <w:tcW w:type="dxa" w:w="1234"/>
          </w:tcPr>
          <w:p>
            <w:r>
              <w:rPr>
                <w:rFonts w:ascii="Calibri" w:hAnsi="Calibri"/>
                <w:b/>
                <w:sz w:val="22"/>
              </w:rPr>
              <w:t>YoY Change</w:t>
            </w:r>
          </w:p>
        </w:tc>
        <w:tc>
          <w:tcPr>
            <w:tcW w:type="dxa" w:w="1234"/>
          </w:tcPr>
          <w:p>
            <w:r>
              <w:rPr>
                <w:rFonts w:ascii="Calibri" w:hAnsi="Calibri"/>
                <w:b/>
                <w:sz w:val="22"/>
              </w:rPr>
              <w:t>FY 2026 Guidance</w:t>
            </w:r>
          </w:p>
        </w:tc>
        <w:tc>
          <w:tcPr>
            <w:tcW w:type="dxa" w:w="1234"/>
          </w:tcPr>
          <w:p>
            <w:r>
              <w:rPr>
                <w:rFonts w:ascii="Calibri" w:hAnsi="Calibri"/>
                <w:b/>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$6.23B</w:t>
            </w:r>
          </w:p>
        </w:tc>
        <w:tc>
          <w:tcPr>
            <w:tcW w:type="dxa" w:w="1234"/>
          </w:tcPr>
          <w:p>
            <w:r>
              <w:rPr>
                <w:rFonts w:ascii="Calibri" w:hAnsi="Calibri"/>
                <w:sz w:val="22"/>
              </w:rPr>
              <w:t>$7.58B</w:t>
            </w:r>
          </w:p>
        </w:tc>
        <w:tc>
          <w:tcPr>
            <w:tcW w:type="dxa" w:w="1234"/>
          </w:tcPr>
          <w:p>
            <w:r>
              <w:rPr>
                <w:rFonts w:ascii="Calibri" w:hAnsi="Calibri"/>
                <w:sz w:val="22"/>
              </w:rPr>
              <w:t>$6.72B</w:t>
            </w:r>
          </w:p>
        </w:tc>
        <w:tc>
          <w:tcPr>
            <w:tcW w:type="dxa" w:w="1234"/>
          </w:tcPr>
          <w:p>
            <w:r>
              <w:rPr>
                <w:rFonts w:ascii="Calibri" w:hAnsi="Calibri"/>
                <w:sz w:val="22"/>
              </w:rPr>
              <w:t>−11.4%</w:t>
            </w:r>
          </w:p>
        </w:tc>
        <w:tc>
          <w:tcPr>
            <w:tcW w:type="dxa" w:w="1234"/>
          </w:tcPr>
          <w:p>
            <w:r>
              <w:rPr>
                <w:rFonts w:ascii="Calibri" w:hAnsi="Calibri"/>
                <w:sz w:val="22"/>
              </w:rPr>
              <w:t>$28.8B (FY)</w:t>
            </w:r>
          </w:p>
        </w:tc>
        <w:tc>
          <w:tcPr>
            <w:tcW w:type="dxa" w:w="1234"/>
          </w:tcPr>
          <w:p>
            <w:r>
              <w:rPr>
                <w:rFonts w:ascii="Calibri" w:hAnsi="Calibri"/>
                <w:sz w:val="22"/>
              </w:rPr>
              <w:t>~+2.5% vs. implied run-rate</w:t>
            </w:r>
          </w:p>
        </w:tc>
      </w:tr>
      <w:tr>
        <w:tc>
          <w:tcPr>
            <w:tcW w:type="dxa" w:w="1234"/>
          </w:tcPr>
          <w:p>
            <w:r>
              <w:rPr>
                <w:rFonts w:ascii="Calibri" w:hAnsi="Calibri"/>
                <w:sz w:val="22"/>
              </w:rPr>
              <w:t>EPS — Diluted Operating ($)</w:t>
            </w:r>
          </w:p>
        </w:tc>
        <w:tc>
          <w:tcPr>
            <w:tcW w:type="dxa" w:w="1234"/>
          </w:tcPr>
          <w:p>
            <w:r>
              <w:rPr>
                <w:rFonts w:ascii="Calibri" w:hAnsi="Calibri"/>
                <w:sz w:val="22"/>
              </w:rPr>
              <w:t>$0.57</w:t>
            </w:r>
          </w:p>
        </w:tc>
        <w:tc>
          <w:tcPr>
            <w:tcW w:type="dxa" w:w="1234"/>
          </w:tcPr>
          <w:p>
            <w:r>
              <w:rPr>
                <w:rFonts w:ascii="Calibri" w:hAnsi="Calibri"/>
                <w:sz w:val="22"/>
              </w:rPr>
              <w:t>$0.55</w:t>
            </w:r>
          </w:p>
        </w:tc>
        <w:tc>
          <w:tcPr>
            <w:tcW w:type="dxa" w:w="1234"/>
          </w:tcPr>
          <w:p>
            <w:r>
              <w:rPr>
                <w:rFonts w:ascii="Calibri" w:hAnsi="Calibri"/>
                <w:sz w:val="22"/>
              </w:rPr>
              <w:t>$0.59</w:t>
            </w:r>
          </w:p>
        </w:tc>
        <w:tc>
          <w:tcPr>
            <w:tcW w:type="dxa" w:w="1234"/>
          </w:tcPr>
          <w:p>
            <w:r>
              <w:rPr>
                <w:rFonts w:ascii="Calibri" w:hAnsi="Calibri"/>
                <w:sz w:val="22"/>
              </w:rPr>
              <w:t>+7.3%</w:t>
            </w:r>
          </w:p>
        </w:tc>
        <w:tc>
          <w:tcPr>
            <w:tcW w:type="dxa" w:w="1234"/>
          </w:tcPr>
          <w:p>
            <w:r>
              <w:rPr>
                <w:rFonts w:ascii="Calibri" w:hAnsi="Calibri"/>
                <w:sz w:val="22"/>
              </w:rPr>
              <w:t>$2.75 (FY)</w:t>
            </w:r>
          </w:p>
        </w:tc>
        <w:tc>
          <w:tcPr>
            <w:tcW w:type="dxa" w:w="1234"/>
          </w:tcPr>
          <w:p>
            <w:r>
              <w:rPr>
                <w:rFonts w:ascii="Calibri" w:hAnsi="Calibri"/>
                <w:sz w:val="22"/>
              </w:rPr>
              <w:t>~+7% vs. implied run-rate</w:t>
            </w:r>
          </w:p>
        </w:tc>
      </w:tr>
      <w:tr>
        <w:tc>
          <w:tcPr>
            <w:tcW w:type="dxa" w:w="1234"/>
          </w:tcPr>
          <w:p>
            <w:r>
              <w:rPr>
                <w:rFonts w:ascii="Calibri" w:hAnsi="Calibri"/>
                <w:sz w:val="22"/>
              </w:rPr>
              <w:t>Copper Sales Volume (Mlbs)</w:t>
            </w:r>
          </w:p>
        </w:tc>
        <w:tc>
          <w:tcPr>
            <w:tcW w:type="dxa" w:w="1234"/>
          </w:tcPr>
          <w:p>
            <w:r>
              <w:rPr>
                <w:rFonts w:ascii="Calibri" w:hAnsi="Calibri"/>
                <w:sz w:val="22"/>
              </w:rPr>
              <w:t>657 Mlbs</w:t>
            </w:r>
          </w:p>
        </w:tc>
        <w:tc>
          <w:tcPr>
            <w:tcW w:type="dxa" w:w="1234"/>
          </w:tcPr>
          <w:p>
            <w:r>
              <w:rPr>
                <w:rFonts w:ascii="Calibri" w:hAnsi="Calibri"/>
                <w:sz w:val="22"/>
              </w:rPr>
              <w:t>1,016 Mlbs</w:t>
            </w:r>
          </w:p>
        </w:tc>
        <w:tc>
          <w:tcPr>
            <w:tcW w:type="dxa" w:w="1234"/>
          </w:tcPr>
          <w:p>
            <w:r>
              <w:rPr>
                <w:rFonts w:ascii="Calibri" w:hAnsi="Calibri"/>
                <w:sz w:val="22"/>
              </w:rPr>
              <w:t>691 Mlbs</w:t>
            </w:r>
          </w:p>
        </w:tc>
        <w:tc>
          <w:tcPr>
            <w:tcW w:type="dxa" w:w="1234"/>
          </w:tcPr>
          <w:p>
            <w:r>
              <w:rPr>
                <w:rFonts w:ascii="Calibri" w:hAnsi="Calibri"/>
                <w:sz w:val="22"/>
              </w:rPr>
              <w:t>−32.0%</w:t>
            </w:r>
          </w:p>
        </w:tc>
        <w:tc>
          <w:tcPr>
            <w:tcW w:type="dxa" w:w="1234"/>
          </w:tcPr>
          <w:p>
            <w:r>
              <w:rPr>
                <w:rFonts w:ascii="Calibri" w:hAnsi="Calibri"/>
                <w:sz w:val="22"/>
              </w:rPr>
              <w:t>3,093 Mlbs (FY)</w:t>
            </w:r>
          </w:p>
        </w:tc>
        <w:tc>
          <w:tcPr>
            <w:tcW w:type="dxa" w:w="1234"/>
          </w:tcPr>
          <w:p>
            <w:r>
              <w:rPr>
                <w:rFonts w:ascii="Calibri" w:hAnsi="Calibri"/>
                <w:sz w:val="22"/>
              </w:rPr>
              <w:t>~+1.5% vs. implied run-rate</w:t>
            </w:r>
          </w:p>
        </w:tc>
      </w:tr>
      <w:tr>
        <w:tc>
          <w:tcPr>
            <w:tcW w:type="dxa" w:w="1234"/>
          </w:tcPr>
          <w:p>
            <w:r>
              <w:rPr>
                <w:rFonts w:ascii="Calibri" w:hAnsi="Calibri"/>
                <w:sz w:val="22"/>
              </w:rPr>
              <w:t>Gold Sales Volume (Kozt)</w:t>
            </w:r>
          </w:p>
        </w:tc>
        <w:tc>
          <w:tcPr>
            <w:tcW w:type="dxa" w:w="1234"/>
          </w:tcPr>
          <w:p>
            <w:r>
              <w:rPr>
                <w:rFonts w:ascii="Calibri" w:hAnsi="Calibri"/>
                <w:sz w:val="22"/>
              </w:rPr>
              <w:t>121 Kozt</w:t>
            </w:r>
          </w:p>
        </w:tc>
        <w:tc>
          <w:tcPr>
            <w:tcW w:type="dxa" w:w="1234"/>
          </w:tcPr>
          <w:p>
            <w:r>
              <w:rPr>
                <w:rFonts w:ascii="Calibri" w:hAnsi="Calibri"/>
                <w:sz w:val="22"/>
              </w:rPr>
              <w:t>522 Kozt</w:t>
            </w:r>
          </w:p>
        </w:tc>
        <w:tc>
          <w:tcPr>
            <w:tcW w:type="dxa" w:w="1234"/>
          </w:tcPr>
          <w:p>
            <w:r>
              <w:rPr>
                <w:rFonts w:ascii="Calibri" w:hAnsi="Calibri"/>
                <w:sz w:val="22"/>
              </w:rPr>
              <w:t>141 Kozt</w:t>
            </w:r>
          </w:p>
        </w:tc>
        <w:tc>
          <w:tcPr>
            <w:tcW w:type="dxa" w:w="1234"/>
          </w:tcPr>
          <w:p>
            <w:r>
              <w:rPr>
                <w:rFonts w:ascii="Calibri" w:hAnsi="Calibri"/>
                <w:sz w:val="22"/>
              </w:rPr>
              <w:t>−73.0%</w:t>
            </w:r>
          </w:p>
        </w:tc>
        <w:tc>
          <w:tcPr>
            <w:tcW w:type="dxa" w:w="1234"/>
          </w:tcPr>
          <w:p>
            <w:r>
              <w:rPr>
                <w:rFonts w:ascii="Calibri" w:hAnsi="Calibri"/>
                <w:sz w:val="22"/>
              </w:rPr>
              <w:t>660 Kozt (FY)</w:t>
            </w:r>
          </w:p>
        </w:tc>
        <w:tc>
          <w:tcPr>
            <w:tcW w:type="dxa" w:w="1234"/>
          </w:tcPr>
          <w:p>
            <w:r>
              <w:rPr>
                <w:rFonts w:ascii="Calibri" w:hAnsi="Calibri"/>
                <w:sz w:val="22"/>
              </w:rPr>
              <w:t>~+2.5% vs. implied run-rate</w:t>
            </w:r>
          </w:p>
        </w:tc>
      </w:tr>
      <w:tr>
        <w:tc>
          <w:tcPr>
            <w:tcW w:type="dxa" w:w="1234"/>
          </w:tcPr>
          <w:p>
            <w:r>
              <w:rPr>
                <w:rFonts w:ascii="Calibri" w:hAnsi="Calibri"/>
                <w:sz w:val="22"/>
              </w:rPr>
              <w:t>Net Cash Cost — Copper ($/lb)</w:t>
            </w:r>
          </w:p>
        </w:tc>
        <w:tc>
          <w:tcPr>
            <w:tcW w:type="dxa" w:w="1234"/>
          </w:tcPr>
          <w:p>
            <w:r>
              <w:rPr>
                <w:rFonts w:ascii="Calibri" w:hAnsi="Calibri"/>
                <w:sz w:val="22"/>
              </w:rPr>
              <w:t>$1.91/lb</w:t>
            </w:r>
          </w:p>
        </w:tc>
        <w:tc>
          <w:tcPr>
            <w:tcW w:type="dxa" w:w="1234"/>
          </w:tcPr>
          <w:p>
            <w:r>
              <w:rPr>
                <w:rFonts w:ascii="Calibri" w:hAnsi="Calibri"/>
                <w:sz w:val="22"/>
              </w:rPr>
              <w:t>$1.13/lb</w:t>
            </w:r>
          </w:p>
        </w:tc>
        <w:tc>
          <w:tcPr>
            <w:tcW w:type="dxa" w:w="1234"/>
          </w:tcPr>
          <w:p>
            <w:r>
              <w:rPr>
                <w:rFonts w:ascii="Calibri" w:hAnsi="Calibri"/>
                <w:sz w:val="22"/>
              </w:rPr>
              <w:t>$2.09/lb</w:t>
            </w:r>
          </w:p>
        </w:tc>
        <w:tc>
          <w:tcPr>
            <w:tcW w:type="dxa" w:w="1234"/>
          </w:tcPr>
          <w:p>
            <w:r>
              <w:rPr>
                <w:rFonts w:ascii="Calibri" w:hAnsi="Calibri"/>
                <w:sz w:val="22"/>
              </w:rPr>
              <w:t>+84.9%</w:t>
            </w:r>
          </w:p>
        </w:tc>
        <w:tc>
          <w:tcPr>
            <w:tcW w:type="dxa" w:w="1234"/>
          </w:tcPr>
          <w:p>
            <w:r>
              <w:rPr>
                <w:rFonts w:ascii="Calibri" w:hAnsi="Calibri"/>
                <w:sz w:val="22"/>
              </w:rPr>
              <w:t>~$1.95/lb (FY avg.)</w:t>
            </w:r>
          </w:p>
        </w:tc>
        <w:tc>
          <w:tcPr>
            <w:tcW w:type="dxa" w:w="1234"/>
          </w:tcPr>
          <w:p>
            <w:r>
              <w:rPr>
                <w:rFonts w:ascii="Calibri" w:hAnsi="Calibri"/>
                <w:sz w:val="22"/>
              </w:rPr>
              <w:t>+7.2% above FY guidance</w:t>
            </w:r>
          </w:p>
        </w:tc>
      </w:tr>
      <w:tr>
        <w:tc>
          <w:tcPr>
            <w:tcW w:type="dxa" w:w="1234"/>
          </w:tcPr>
          <w:p>
            <w:r>
              <w:rPr>
                <w:rFonts w:ascii="Calibri" w:hAnsi="Calibri"/>
                <w:sz w:val="22"/>
              </w:rPr>
              <w:t>Total CapEx ($B)</w:t>
            </w:r>
          </w:p>
        </w:tc>
        <w:tc>
          <w:tcPr>
            <w:tcW w:type="dxa" w:w="1234"/>
          </w:tcPr>
          <w:p>
            <w:r>
              <w:rPr>
                <w:rFonts w:ascii="Calibri" w:hAnsi="Calibri"/>
                <w:sz w:val="22"/>
              </w:rPr>
              <w:t>$0.97B</w:t>
            </w:r>
          </w:p>
        </w:tc>
        <w:tc>
          <w:tcPr>
            <w:tcW w:type="dxa" w:w="1234"/>
          </w:tcPr>
          <w:p>
            <w:r>
              <w:rPr>
                <w:rFonts w:ascii="Calibri" w:hAnsi="Calibri"/>
                <w:sz w:val="22"/>
              </w:rPr>
              <w:t>$1.26B</w:t>
            </w:r>
          </w:p>
        </w:tc>
        <w:tc>
          <w:tcPr>
            <w:tcW w:type="dxa" w:w="1234"/>
          </w:tcPr>
          <w:p>
            <w:r>
              <w:rPr>
                <w:rFonts w:ascii="Calibri" w:hAnsi="Calibri"/>
                <w:sz w:val="22"/>
              </w:rPr>
              <w:t>$1.09B</w:t>
            </w:r>
          </w:p>
        </w:tc>
        <w:tc>
          <w:tcPr>
            <w:tcW w:type="dxa" w:w="1234"/>
          </w:tcPr>
          <w:p>
            <w:r>
              <w:rPr>
                <w:rFonts w:ascii="Calibri" w:hAnsi="Calibri"/>
                <w:sz w:val="22"/>
              </w:rPr>
              <w:t>−13.5%</w:t>
            </w:r>
          </w:p>
        </w:tc>
        <w:tc>
          <w:tcPr>
            <w:tcW w:type="dxa" w:w="1234"/>
          </w:tcPr>
          <w:p>
            <w:r>
              <w:rPr>
                <w:rFonts w:ascii="Calibri" w:hAnsi="Calibri"/>
                <w:sz w:val="22"/>
              </w:rPr>
              <w:t>$4.3B (FY)</w:t>
            </w:r>
          </w:p>
        </w:tc>
        <w:tc>
          <w:tcPr>
            <w:tcW w:type="dxa" w:w="1234"/>
          </w:tcPr>
          <w:p>
            <w:r>
              <w:rPr>
                <w:rFonts w:ascii="Calibri" w:hAnsi="Calibri"/>
                <w:sz w:val="22"/>
              </w:rPr>
              <w:t>~+1.5% vs. implied run-rate</w:t>
            </w:r>
          </w:p>
        </w:tc>
      </w:tr>
    </w:tbl>
    <w:p>
      <w:r>
        <w:rPr>
          <w:rFonts w:ascii="Calibri" w:hAnsi="Calibri"/>
          <w: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Copper Sales Volume (Mlbs)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(Mlbs)</w:t>
            </w:r>
          </w:p>
        </w:tc>
        <w:tc>
          <w:tcPr>
            <w:tcW w:type="dxa" w:w="1728"/>
          </w:tcPr>
          <w:p>
            <w:r>
              <w:rPr>
                <w:rFonts w:ascii="Calibri" w:hAnsi="Calibri"/>
                <w:b/>
                <w:sz w:val="22"/>
              </w:rPr>
              <w:t>Consensus (Mlbs)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1,035</w:t>
            </w:r>
          </w:p>
        </w:tc>
        <w:tc>
          <w:tcPr>
            <w:tcW w:type="dxa" w:w="1728"/>
          </w:tcPr>
          <w:p>
            <w:r>
              <w:rPr>
                <w:rFonts w:ascii="Calibri" w:hAnsi="Calibri"/>
                <w:sz w:val="22"/>
              </w:rPr>
              <w:t>1,013</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992</w:t>
            </w:r>
          </w:p>
        </w:tc>
        <w:tc>
          <w:tcPr>
            <w:tcW w:type="dxa" w:w="1728"/>
          </w:tcPr>
          <w:p>
            <w:r>
              <w:rPr>
                <w:rFonts w:ascii="Calibri" w:hAnsi="Calibri"/>
                <w:sz w:val="22"/>
              </w:rPr>
              <w:t>983</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872</w:t>
            </w:r>
          </w:p>
        </w:tc>
        <w:tc>
          <w:tcPr>
            <w:tcW w:type="dxa" w:w="1728"/>
          </w:tcPr>
          <w:p>
            <w:r>
              <w:rPr>
                <w:rFonts w:ascii="Calibri" w:hAnsi="Calibri"/>
                <w:sz w:val="22"/>
              </w:rPr>
              <w:t>849</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1,016</w:t>
            </w:r>
          </w:p>
        </w:tc>
        <w:tc>
          <w:tcPr>
            <w:tcW w:type="dxa" w:w="1728"/>
          </w:tcPr>
          <w:p>
            <w:r>
              <w:rPr>
                <w:rFonts w:ascii="Calibri" w:hAnsi="Calibri"/>
                <w:sz w:val="22"/>
              </w:rPr>
              <w:t>1,005</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977</w:t>
            </w:r>
          </w:p>
        </w:tc>
        <w:tc>
          <w:tcPr>
            <w:tcW w:type="dxa" w:w="1728"/>
          </w:tcPr>
          <w:p>
            <w:r>
              <w:rPr>
                <w:rFonts w:ascii="Calibri" w:hAnsi="Calibri"/>
                <w:sz w:val="22"/>
              </w:rPr>
              <w:t>946</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709</w:t>
            </w:r>
          </w:p>
        </w:tc>
        <w:tc>
          <w:tcPr>
            <w:tcW w:type="dxa" w:w="1728"/>
          </w:tcPr>
          <w:p>
            <w:r>
              <w:rPr>
                <w:rFonts w:ascii="Calibri" w:hAnsi="Calibri"/>
                <w:sz w:val="22"/>
              </w:rPr>
              <w:t>640</w:t>
            </w:r>
          </w:p>
        </w:tc>
        <w:tc>
          <w:tcPr>
            <w:tcW w:type="dxa" w:w="1728"/>
          </w:tcPr>
          <w:p>
            <w:r>
              <w:rPr>
                <w:rFonts w:ascii="Calibri" w:hAnsi="Calibri"/>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657</w:t>
            </w:r>
          </w:p>
        </w:tc>
        <w:tc>
          <w:tcPr>
            <w:tcW w:type="dxa" w:w="1728"/>
          </w:tcPr>
          <w:p>
            <w:r>
              <w:rPr>
                <w:rFonts w:ascii="Calibri" w:hAnsi="Calibri"/>
                <w:sz w:val="22"/>
              </w:rPr>
              <w:t>651</w:t>
            </w:r>
          </w:p>
        </w:tc>
        <w:tc>
          <w:tcPr>
            <w:tcW w:type="dxa" w:w="1728"/>
          </w:tcPr>
          <w:p>
            <w:r>
              <w:rPr>
                <w:rFonts w:ascii="Calibri" w:hAnsi="Calibri"/>
                <w:sz w:val="22"/>
              </w:rPr>
              <w:t>+0.9%</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w:t>
            </w:r>
          </w:p>
        </w:tc>
        <w:tc>
          <w:tcPr>
            <w:tcW w:type="dxa" w:w="1728"/>
          </w:tcPr>
          <w:p>
            <w:r>
              <w:rPr>
                <w:rFonts w:ascii="Calibri" w:hAnsi="Calibri"/>
                <w:b/>
                <w:sz w:val="22"/>
              </w:rPr>
              <w:t>Consensus ($)</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$0.38</w:t>
            </w:r>
          </w:p>
        </w:tc>
        <w:tc>
          <w:tcPr>
            <w:tcW w:type="dxa" w:w="1728"/>
          </w:tcPr>
          <w:p>
            <w:r>
              <w:rPr>
                <w:rFonts w:ascii="Calibri" w:hAnsi="Calibri"/>
                <w:sz w:val="22"/>
              </w:rPr>
              <w:t>$0.36</w:t>
            </w:r>
          </w:p>
        </w:tc>
        <w:tc>
          <w:tcPr>
            <w:tcW w:type="dxa" w:w="1728"/>
          </w:tcPr>
          <w:p>
            <w:r>
              <w:rPr>
                <w:rFonts w:ascii="Calibri" w:hAnsi="Calibri"/>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$0.31</w:t>
            </w:r>
          </w:p>
        </w:tc>
        <w:tc>
          <w:tcPr>
            <w:tcW w:type="dxa" w:w="1728"/>
          </w:tcPr>
          <w:p>
            <w:r>
              <w:rPr>
                <w:rFonts w:ascii="Calibri" w:hAnsi="Calibri"/>
                <w:sz w:val="22"/>
              </w:rPr>
              <w:t>$0.21</w:t>
            </w:r>
          </w:p>
        </w:tc>
        <w:tc>
          <w:tcPr>
            <w:tcW w:type="dxa" w:w="1728"/>
          </w:tcPr>
          <w:p>
            <w:r>
              <w:rPr>
                <w:rFonts w:ascii="Calibri" w:hAnsi="Calibri"/>
                <w:sz w:val="22"/>
              </w:rPr>
              <w:t>+47.6%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$0.25</w:t>
            </w:r>
          </w:p>
        </w:tc>
        <w:tc>
          <w:tcPr>
            <w:tcW w:type="dxa" w:w="1728"/>
          </w:tcPr>
          <w:p>
            <w:r>
              <w:rPr>
                <w:rFonts w:ascii="Calibri" w:hAnsi="Calibri"/>
                <w:sz w:val="22"/>
              </w:rPr>
              <w:t>$0.22</w:t>
            </w:r>
          </w:p>
        </w:tc>
        <w:tc>
          <w:tcPr>
            <w:tcW w:type="dxa" w:w="1728"/>
          </w:tcPr>
          <w:p>
            <w:r>
              <w:rPr>
                <w:rFonts w:ascii="Calibri" w:hAnsi="Calibri"/>
                <w:sz w:val="22"/>
              </w:rPr>
              <w:t>+13.6%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$0.55</w:t>
            </w:r>
          </w:p>
        </w:tc>
        <w:tc>
          <w:tcPr>
            <w:tcW w:type="dxa" w:w="1728"/>
          </w:tcPr>
          <w:p>
            <w:r>
              <w:rPr>
                <w:rFonts w:ascii="Calibri" w:hAnsi="Calibri"/>
                <w:sz w:val="22"/>
              </w:rPr>
              <w:t>$0.45</w:t>
            </w:r>
          </w:p>
        </w:tc>
        <w:tc>
          <w:tcPr>
            <w:tcW w:type="dxa" w:w="1728"/>
          </w:tcPr>
          <w:p>
            <w:r>
              <w:rPr>
                <w:rFonts w:ascii="Calibri" w:hAnsi="Calibri"/>
                <w:sz w:val="22"/>
              </w:rPr>
              <w:t>+22.2%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$0.50</w:t>
            </w:r>
          </w:p>
        </w:tc>
        <w:tc>
          <w:tcPr>
            <w:tcW w:type="dxa" w:w="1728"/>
          </w:tcPr>
          <w:p>
            <w:r>
              <w:rPr>
                <w:rFonts w:ascii="Calibri" w:hAnsi="Calibri"/>
                <w:sz w:val="22"/>
              </w:rPr>
              <w:t>$0.41</w:t>
            </w:r>
          </w:p>
        </w:tc>
        <w:tc>
          <w:tcPr>
            <w:tcW w:type="dxa" w:w="1728"/>
          </w:tcPr>
          <w:p>
            <w:r>
              <w:rPr>
                <w:rFonts w:ascii="Calibri" w:hAnsi="Calibri"/>
                <w:sz w:val="22"/>
              </w:rPr>
              <w:t>+22.0%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$0.48</w:t>
            </w:r>
          </w:p>
        </w:tc>
        <w:tc>
          <w:tcPr>
            <w:tcW w:type="dxa" w:w="1728"/>
          </w:tcPr>
          <w:p>
            <w:r>
              <w:rPr>
                <w:rFonts w:ascii="Calibri" w:hAnsi="Calibri"/>
                <w:sz w:val="22"/>
              </w:rPr>
              <w:t>$0.26</w:t>
            </w:r>
          </w:p>
        </w:tc>
        <w:tc>
          <w:tcPr>
            <w:tcW w:type="dxa" w:w="1728"/>
          </w:tcPr>
          <w:p>
            <w:r>
              <w:rPr>
                <w:rFonts w:ascii="Calibri" w:hAnsi="Calibri"/>
                <w:sz w:val="22"/>
              </w:rPr>
              <w:t>+84.6%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$0.57</w:t>
            </w:r>
          </w:p>
        </w:tc>
        <w:tc>
          <w:tcPr>
            <w:tcW w:type="dxa" w:w="1728"/>
          </w:tcPr>
          <w:p>
            <w:r>
              <w:rPr>
                <w:rFonts w:ascii="Calibri" w:hAnsi="Calibri"/>
                <w:sz w:val="22"/>
              </w:rPr>
              <w:t>$0.47</w:t>
            </w:r>
          </w:p>
        </w:tc>
        <w:tc>
          <w:tcPr>
            <w:tcW w:type="dxa" w:w="1728"/>
          </w:tcPr>
          <w:p>
            <w:r>
              <w:rPr>
                <w:rFonts w:ascii="Calibri" w:hAnsi="Calibri"/>
                <w:sz w:val="22"/>
              </w:rPr>
              <w:t>+21.3%</w:t>
            </w:r>
          </w:p>
        </w:tc>
        <w:tc>
          <w:tcPr>
            <w:tcW w:type="dxa" w:w="1728"/>
          </w:tcPr>
          <w:p>
            <w:r>
              <w:rPr>
                <w:rFonts w:ascii="Calibri" w:hAnsi="Calibri"/>
                <w:b/>
                <w:color w:val="30A46C"/>
                <w:sz w:val="22"/>
              </w:rPr>
              <w:t>Beat</w:t>
            </w:r>
          </w:p>
        </w:tc>
      </w:tr>
    </w:tbl>
    <w:p>
      <w:r>
        <w:rPr>
          <w:rFonts w:ascii="Calibri" w:hAnsi="Calibri"/>
          <w:i/>
          <w:color w:val="525866"/>
          <w:sz w:val="22"/>
        </w:rPr>
        <w:t>FCX has beaten consensus on both copper volumes and operating EPS in every reported quarter over the trailing seven periods, with particularly large EPS beats in Q4 2024 and Q4 2025 driven by commodity price tailwinds and operational outperformance in U.S. operations. The consistent beat pattern sets a higher implicit bar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April 23 Q1 earnings call</w:t>
      </w:r>
      <w:r>
        <w:rPr>
          <w:rFonts w:ascii="Calibri" w:hAnsi="Calibri"/>
          <w:color w:val="525866"/>
          <w:sz w:val="22"/>
        </w:rPr>
        <w:t xml:space="preserve"> — no post-earnings 8-K or conference update has revised the numbers — but management's tone at the BofA Metals Conference (May 12) reinforced the Grasberg ramp-up timeline and leach initiative progress, providing incremental confidence without raising the bar.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23)</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 2026 Copper Sales (Mlbs)</w:t>
            </w:r>
          </w:p>
        </w:tc>
        <w:tc>
          <w:tcPr>
            <w:tcW w:type="dxa" w:w="1728"/>
          </w:tcPr>
          <w:p>
            <w:r>
              <w:rPr>
                <w:rFonts w:ascii="Calibri" w:hAnsi="Calibri"/>
                <w:sz w:val="22"/>
              </w:rPr>
              <w:t>~3,100 Mlbs (revised down from 3,400 Mlbs)</w:t>
            </w:r>
          </w:p>
        </w:tc>
        <w:tc>
          <w:tcPr>
            <w:tcW w:type="dxa" w:w="1728"/>
          </w:tcPr>
          <w:p>
            <w:r>
              <w:rPr>
                <w:rFonts w:ascii="Calibri" w:hAnsi="Calibri"/>
                <w:sz w:val="22"/>
              </w:rPr>
              <w:t>—</w:t>
            </w:r>
          </w:p>
        </w:tc>
        <w:tc>
          <w:tcPr>
            <w:tcW w:type="dxa" w:w="1728"/>
          </w:tcPr>
          <w:p>
            <w:r>
              <w:rPr>
                <w:rFonts w:ascii="Calibri" w:hAnsi="Calibri"/>
                <w:sz w:val="22"/>
              </w:rPr>
              <w:t>3,093 Mlbs</w:t>
            </w:r>
          </w:p>
        </w:tc>
        <w:tc>
          <w:tcPr>
            <w:tcW w:type="dxa" w:w="1728"/>
          </w:tcPr>
          <w:p>
            <w:r>
              <w:rPr>
                <w:rFonts w:ascii="Calibri" w:hAnsi="Calibri"/>
                <w:sz w:val="22"/>
              </w:rPr>
              <w:t>Unchanged since Q1 print; BofA May 12 reiterated 60–65% Grasberg capacity in H2 2026</w:t>
            </w:r>
          </w:p>
        </w:tc>
      </w:tr>
      <w:tr>
        <w:tc>
          <w:tcPr>
            <w:tcW w:type="dxa" w:w="1728"/>
          </w:tcPr>
          <w:p>
            <w:r>
              <w:rPr>
                <w:rFonts w:ascii="Calibri" w:hAnsi="Calibri"/>
                <w:sz w:val="22"/>
              </w:rPr>
              <w:t>FY 2026 Gold Sales (Kozt)</w:t>
            </w:r>
          </w:p>
        </w:tc>
        <w:tc>
          <w:tcPr>
            <w:tcW w:type="dxa" w:w="1728"/>
          </w:tcPr>
          <w:p>
            <w:r>
              <w:rPr>
                <w:rFonts w:ascii="Calibri" w:hAnsi="Calibri"/>
                <w:sz w:val="22"/>
              </w:rPr>
              <w:t>~650 Kozt (revised down from 800 Kozt)</w:t>
            </w:r>
          </w:p>
        </w:tc>
        <w:tc>
          <w:tcPr>
            <w:tcW w:type="dxa" w:w="1728"/>
          </w:tcPr>
          <w:p>
            <w:r>
              <w:rPr>
                <w:rFonts w:ascii="Calibri" w:hAnsi="Calibri"/>
                <w:sz w:val="22"/>
              </w:rPr>
              <w:t>—</w:t>
            </w:r>
          </w:p>
        </w:tc>
        <w:tc>
          <w:tcPr>
            <w:tcW w:type="dxa" w:w="1728"/>
          </w:tcPr>
          <w:p>
            <w:r>
              <w:rPr>
                <w:rFonts w:ascii="Calibri" w:hAnsi="Calibri"/>
                <w:sz w:val="22"/>
              </w:rPr>
              <w:t>660 Kozt</w:t>
            </w:r>
          </w:p>
        </w:tc>
        <w:tc>
          <w:tcPr>
            <w:tcW w:type="dxa" w:w="1728"/>
          </w:tcPr>
          <w:p>
            <w:r>
              <w:rPr>
                <w:rFonts w:ascii="Calibri" w:hAnsi="Calibri"/>
                <w:sz w:val="22"/>
              </w:rPr>
              <w:t>Unchanged; gold volumes heavily Grasberg-dependent</w:t>
            </w:r>
          </w:p>
        </w:tc>
      </w:tr>
      <w:tr>
        <w:tc>
          <w:tcPr>
            <w:tcW w:type="dxa" w:w="1728"/>
          </w:tcPr>
          <w:p>
            <w:r>
              <w:rPr>
                <w:rFonts w:ascii="Calibri" w:hAnsi="Calibri"/>
                <w:sz w:val="22"/>
              </w:rPr>
              <w:t>FY 2026 Net Unit Cost — Copper ($/lb)</w:t>
            </w:r>
          </w:p>
        </w:tc>
        <w:tc>
          <w:tcPr>
            <w:tcW w:type="dxa" w:w="1728"/>
          </w:tcPr>
          <w:p>
            <w:r>
              <w:rPr>
                <w:rFonts w:ascii="Calibri" w:hAnsi="Calibri"/>
                <w:sz w:val="22"/>
              </w:rPr>
              <w:t>~$1.95/lb (revised up from $1.75/lb)</w:t>
            </w:r>
          </w:p>
        </w:tc>
        <w:tc>
          <w:tcPr>
            <w:tcW w:type="dxa" w:w="1728"/>
          </w:tcPr>
          <w:p>
            <w:r>
              <w:rPr>
                <w:rFonts w:ascii="Calibri" w:hAnsi="Calibri"/>
                <w:sz w:val="22"/>
              </w:rPr>
              <w:t>—</w:t>
            </w:r>
          </w:p>
        </w:tc>
        <w:tc>
          <w:tcPr>
            <w:tcW w:type="dxa" w:w="1728"/>
          </w:tcPr>
          <w:p>
            <w:r>
              <w:rPr>
                <w:rFonts w:ascii="Calibri" w:hAnsi="Calibri"/>
                <w:sz w:val="22"/>
              </w:rPr>
              <w:t>$1.92/lb</w:t>
            </w:r>
          </w:p>
        </w:tc>
        <w:tc>
          <w:tcPr>
            <w:tcW w:type="dxa" w:w="1728"/>
          </w:tcPr>
          <w:p>
            <w:r>
              <w:rPr>
                <w:rFonts w:ascii="Calibri" w:hAnsi="Calibri"/>
                <w:sz w:val="22"/>
              </w:rPr>
              <w:t>Unchanged; diesel/sulfuric acid cost pressures flagged; U.S. $2.50/lb target under review</w:t>
            </w:r>
          </w:p>
        </w:tc>
      </w:tr>
      <w:tr>
        <w:tc>
          <w:tcPr>
            <w:tcW w:type="dxa" w:w="1728"/>
          </w:tcPr>
          <w:p>
            <w:r>
              <w:rPr>
                <w:rFonts w:ascii="Calibri" w:hAnsi="Calibri"/>
                <w:sz w:val="22"/>
              </w:rPr>
              <w:t>FY 2026 CapEx ($B)</w:t>
            </w:r>
          </w:p>
        </w:tc>
        <w:tc>
          <w:tcPr>
            <w:tcW w:type="dxa" w:w="1728"/>
          </w:tcPr>
          <w:p>
            <w:r>
              <w:rPr>
                <w:rFonts w:ascii="Calibri" w:hAnsi="Calibri"/>
                <w:sz w:val="22"/>
              </w:rPr>
              <w:t>~$4.3B</w:t>
            </w:r>
          </w:p>
        </w:tc>
        <w:tc>
          <w:tcPr>
            <w:tcW w:type="dxa" w:w="1728"/>
          </w:tcPr>
          <w:p>
            <w:r>
              <w:rPr>
                <w:rFonts w:ascii="Calibri" w:hAnsi="Calibri"/>
                <w:sz w:val="22"/>
              </w:rPr>
              <w:t>—</w:t>
            </w:r>
          </w:p>
        </w:tc>
        <w:tc>
          <w:tcPr>
            <w:tcW w:type="dxa" w:w="1728"/>
          </w:tcPr>
          <w:p>
            <w:r>
              <w:rPr>
                <w:rFonts w:ascii="Calibri" w:hAnsi="Calibri"/>
                <w:sz w:val="22"/>
              </w:rPr>
              <w:t>$4.33B</w:t>
            </w:r>
          </w:p>
        </w:tc>
        <w:tc>
          <w:tcPr>
            <w:tcW w:type="dxa" w:w="1728"/>
          </w:tcPr>
          <w:p>
            <w:r>
              <w:rPr>
                <w:rFonts w:ascii="Calibri" w:hAnsi="Calibri"/>
                <w:sz w:val="22"/>
              </w:rPr>
              <w:t>Unchanged; ~$60–70M added for Grasberg chute modifications, offset by timing variances</w:t>
            </w:r>
          </w:p>
        </w:tc>
      </w:tr>
      <w:tr>
        <w:tc>
          <w:tcPr>
            <w:tcW w:type="dxa" w:w="1728"/>
          </w:tcPr>
          <w:p>
            <w:r>
              <w:rPr>
                <w:rFonts w:ascii="Calibri" w:hAnsi="Calibri"/>
                <w:sz w:val="22"/>
              </w:rPr>
              <w:t>Grasberg H2 2026 Capacity</w:t>
            </w:r>
          </w:p>
        </w:tc>
        <w:tc>
          <w:tcPr>
            <w:tcW w:type="dxa" w:w="1728"/>
          </w:tcPr>
          <w:p>
            <w:r>
              <w:rPr>
                <w:rFonts w:ascii="Calibri" w:hAnsi="Calibri"/>
                <w:sz w:val="22"/>
              </w:rPr>
              <w:t>~60,000 tpd (~60–65% of capacity)</w:t>
            </w:r>
          </w:p>
        </w:tc>
        <w:tc>
          <w:tcPr>
            <w:tcW w:type="dxa" w:w="1728"/>
          </w:tcPr>
          <w:p>
            <w:r>
              <w:rPr>
                <w:rFonts w:ascii="Calibri" w:hAnsi="Calibri"/>
                <w:sz w:val="22"/>
              </w:rPr>
              <w:t>—</w:t>
            </w:r>
          </w:p>
        </w:tc>
        <w:tc>
          <w:tcPr>
            <w:tcW w:type="dxa" w:w="1728"/>
          </w:tcPr>
          <w:p>
            <w:r>
              <w:rPr>
                <w:rFonts w:ascii="Calibri" w:hAnsi="Calibri"/>
                <w:sz w:val="22"/>
              </w:rPr>
              <w:t>N/A (operational target)</w:t>
            </w:r>
          </w:p>
        </w:tc>
        <w:tc>
          <w:tcPr>
            <w:tcW w:type="dxa" w:w="1728"/>
          </w:tcPr>
          <w:p>
            <w:r>
              <w:rPr>
                <w:rFonts w:ascii="Calibri" w:hAnsi="Calibri"/>
                <w:sz w:val="22"/>
              </w:rPr>
              <w:t>Reiterated at BofA May 12; ~80% by mid-2027, full capacity by end-2027</w:t>
            </w:r>
          </w:p>
        </w:tc>
      </w:tr>
      <w:tr>
        <w:tc>
          <w:tcPr>
            <w:tcW w:type="dxa" w:w="1728"/>
          </w:tcPr>
          <w:p>
            <w:r>
              <w:rPr>
                <w:rFonts w:ascii="Calibri" w:hAnsi="Calibri"/>
                <w:sz w:val="22"/>
              </w:rPr>
              <w:t>Leach Initiative (2026–2027 target)</w:t>
            </w:r>
          </w:p>
        </w:tc>
        <w:tc>
          <w:tcPr>
            <w:tcW w:type="dxa" w:w="1728"/>
          </w:tcPr>
          <w:p>
            <w:r>
              <w:rPr>
                <w:rFonts w:ascii="Calibri" w:hAnsi="Calibri"/>
                <w:sz w:val="22"/>
              </w:rPr>
              <w:t>300–400 Mlbs/year; path to 800 Mlbs by 2030</w:t>
            </w:r>
          </w:p>
        </w:tc>
        <w:tc>
          <w:tcPr>
            <w:tcW w:type="dxa" w:w="1728"/>
          </w:tcPr>
          <w:p>
            <w:r>
              <w:rPr>
                <w:rFonts w:ascii="Calibri" w:hAnsi="Calibri"/>
                <w:sz w:val="22"/>
              </w:rPr>
              <w:t>—</w:t>
            </w:r>
          </w:p>
        </w:tc>
        <w:tc>
          <w:tcPr>
            <w:tcW w:type="dxa" w:w="1728"/>
          </w:tcPr>
          <w:p>
            <w:r>
              <w:rPr>
                <w:rFonts w:ascii="Calibri" w:hAnsi="Calibri"/>
                <w:sz w:val="22"/>
              </w:rPr>
              <w:t>N/A (operational target)</w:t>
            </w:r>
          </w:p>
        </w:tc>
        <w:tc>
          <w:tcPr>
            <w:tcW w:type="dxa" w:w="1728"/>
          </w:tcPr>
          <w:p>
            <w:r>
              <w:rPr>
                <w:rFonts w:ascii="Calibri" w:hAnsi="Calibri"/>
                <w:sz w:val="22"/>
              </w:rPr>
              <w:t>BofA May 12: heat injection underway at Morenci; next-gen additives in lab testing; H2 2026 results expected</w:t>
            </w:r>
          </w:p>
        </w:tc>
      </w:tr>
      <w:tr>
        <w:tc>
          <w:tcPr>
            <w:tcW w:type="dxa" w:w="1728"/>
          </w:tcPr>
          <w:p>
            <w:r>
              <w:rPr>
                <w:rFonts w:ascii="Calibri" w:hAnsi="Calibri"/>
                <w:sz w:val="22"/>
              </w:rPr>
              <w:t>Insurance Recovery ($M)</w:t>
            </w:r>
          </w:p>
        </w:tc>
        <w:tc>
          <w:tcPr>
            <w:tcW w:type="dxa" w:w="1728"/>
          </w:tcPr>
          <w:p>
            <w:r>
              <w:rPr>
                <w:rFonts w:ascii="Calibri" w:hAnsi="Calibri"/>
                <w:sz w:val="22"/>
              </w:rPr>
              <w:t>$700M (maximum limit; expected to collect in Q2 2026)</w:t>
            </w:r>
          </w:p>
        </w:tc>
        <w:tc>
          <w:tcPr>
            <w:tcW w:type="dxa" w:w="1728"/>
          </w:tcPr>
          <w:p>
            <w:r>
              <w:rPr>
                <w:rFonts w:ascii="Calibri" w:hAnsi="Calibri"/>
                <w:sz w:val="22"/>
              </w:rPr>
              <w:t>—</w:t>
            </w:r>
          </w:p>
        </w:tc>
        <w:tc>
          <w:tcPr>
            <w:tcW w:type="dxa" w:w="1728"/>
          </w:tcPr>
          <w:p>
            <w:r>
              <w:rPr>
                <w:rFonts w:ascii="Calibri" w:hAnsi="Calibri"/>
                <w:sz w:val="22"/>
              </w:rPr>
              <w:t>N/A (one-time item)</w:t>
            </w:r>
          </w:p>
        </w:tc>
        <w:tc>
          <w:tcPr>
            <w:tcW w:type="dxa" w:w="1728"/>
          </w:tcPr>
          <w:p>
            <w:r>
              <w:rPr>
                <w:rFonts w:ascii="Calibri" w:hAnsi="Calibri"/>
                <w:sz w:val="22"/>
              </w:rPr>
              <w:t>Key Q2 cash flow catalyst; recognized in Q1, collection expected Q2</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drifted modestly higher</w:t>
      </w:r>
      <w:r>
        <w:rPr>
          <w:rFonts w:ascii="Calibri" w:hAnsi="Calibri"/>
          <w:color w:val="525866"/>
          <w:sz w:val="22"/>
        </w:rPr>
        <w:t xml:space="preserve"> since the Q1 print, with Q2 EPS up ~10% and FY 2026 EPS up ~10% from the post-earnings baseline, driven by copper price strength. Estimates are </w:t>
      </w:r>
      <w:r>
        <w:rPr>
          <w:rFonts w:ascii="Calibri" w:hAnsi="Calibri"/>
          <w:b/>
          <w:color w:val="525866"/>
          <w:sz w:val="22"/>
        </w:rPr>
        <w:t>tracking above guidance</w:t>
      </w:r>
      <w:r>
        <w:rPr>
          <w:rFonts w:ascii="Calibri" w:hAnsi="Calibri"/>
          <w:color w:val="525866"/>
          <w:sz w:val="22"/>
        </w:rPr>
        <w:t xml:space="preserve"> on EPS and revenue, suggesting the market is embedding higher realized copper prices than management's conservative guidance assumptions.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~Apr 30, 2026 (Post-Q1 Baseline)</w:t>
            </w:r>
          </w:p>
        </w:tc>
        <w:tc>
          <w:tcPr>
            <w:tcW w:type="dxa" w:w="1080"/>
          </w:tcPr>
          <w:p>
            <w:r>
              <w:rPr>
                <w:rFonts w:ascii="Calibri" w:hAnsi="Calibri"/>
                <w:b/>
                <w:sz w:val="22"/>
              </w:rPr>
              <w:t>Current Consensus (Jul 22,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$0.53</w:t>
            </w:r>
          </w:p>
        </w:tc>
        <w:tc>
          <w:tcPr>
            <w:tcW w:type="dxa" w:w="1080"/>
          </w:tcPr>
          <w:p>
            <w:r>
              <w:rPr>
                <w:rFonts w:ascii="Calibri" w:hAnsi="Calibri"/>
                <w:sz w:val="22"/>
              </w:rPr>
              <w:t>$0.59</w:t>
            </w:r>
          </w:p>
        </w:tc>
        <w:tc>
          <w:tcPr>
            <w:tcW w:type="dxa" w:w="1080"/>
          </w:tcPr>
          <w:p>
            <w:r>
              <w:rPr>
                <w:rFonts w:ascii="Calibri" w:hAnsi="Calibri"/>
                <w:b/>
                <w:color w:val="30A46C"/>
                <w:sz w:val="22"/>
              </w:rPr>
              <w:t>+11.3%</w:t>
            </w:r>
          </w:p>
        </w:tc>
        <w:tc>
          <w:tcPr>
            <w:tcW w:type="dxa" w:w="1080"/>
          </w:tcPr>
          <w:p>
            <w:r>
              <w:rPr>
                <w:rFonts w:ascii="Calibri" w:hAnsi="Calibri"/>
                <w:sz w:val="22"/>
              </w:rPr>
              <w:t>N/A (no Q2-specific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$2.50</w:t>
            </w:r>
          </w:p>
        </w:tc>
        <w:tc>
          <w:tcPr>
            <w:tcW w:type="dxa" w:w="1080"/>
          </w:tcPr>
          <w:p>
            <w:r>
              <w:rPr>
                <w:rFonts w:ascii="Calibri" w:hAnsi="Calibri"/>
                <w:sz w:val="22"/>
              </w:rPr>
              <w:t>$2.75</w:t>
            </w:r>
          </w:p>
        </w:tc>
        <w:tc>
          <w:tcPr>
            <w:tcW w:type="dxa" w:w="1080"/>
          </w:tcPr>
          <w:p>
            <w:r>
              <w:rPr>
                <w:rFonts w:ascii="Calibri" w:hAnsi="Calibri"/>
                <w:b/>
                <w:color w:val="30A46C"/>
                <w:sz w:val="22"/>
              </w:rPr>
              <w:t>+10.0%</w:t>
            </w:r>
          </w:p>
        </w:tc>
        <w:tc>
          <w:tcPr>
            <w:tcW w:type="dxa" w:w="1080"/>
          </w:tcPr>
          <w:p>
            <w:r>
              <w:rPr>
                <w:rFonts w:ascii="Calibri" w:hAnsi="Calibri"/>
                <w:sz w:val="22"/>
              </w:rPr>
              <w:t>N/A (no explicit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(Q2 2026, $B)</w:t>
            </w:r>
          </w:p>
        </w:tc>
        <w:tc>
          <w:tcPr>
            <w:tcW w:type="dxa" w:w="1080"/>
          </w:tcPr>
          <w:p>
            <w:r>
              <w:rPr>
                <w:rFonts w:ascii="Calibri" w:hAnsi="Calibri"/>
                <w:sz w:val="22"/>
              </w:rPr>
              <w:t>$6.48B</w:t>
            </w:r>
          </w:p>
        </w:tc>
        <w:tc>
          <w:tcPr>
            <w:tcW w:type="dxa" w:w="1080"/>
          </w:tcPr>
          <w:p>
            <w:r>
              <w:rPr>
                <w:rFonts w:ascii="Calibri" w:hAnsi="Calibri"/>
                <w:sz w:val="22"/>
              </w:rPr>
              <w:t>$6.72B</w:t>
            </w:r>
          </w:p>
        </w:tc>
        <w:tc>
          <w:tcPr>
            <w:tcW w:type="dxa" w:w="1080"/>
          </w:tcPr>
          <w:p>
            <w:r>
              <w:rPr>
                <w:rFonts w:ascii="Calibri" w:hAnsi="Calibri"/>
                <w:b/>
                <w:color w:val="30A46C"/>
                <w:sz w:val="22"/>
              </w:rPr>
              <w:t>+3.7%</w:t>
            </w:r>
          </w:p>
        </w:tc>
        <w:tc>
          <w:tcPr>
            <w:tcW w:type="dxa" w:w="1080"/>
          </w:tcPr>
          <w:p>
            <w:r>
              <w:rPr>
                <w:rFonts w:ascii="Calibri" w:hAnsi="Calibri"/>
                <w:sz w:val="22"/>
              </w:rPr>
              <w:t>N/A (no Q2-specific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(FY 2026, $B)</w:t>
            </w:r>
          </w:p>
        </w:tc>
        <w:tc>
          <w:tcPr>
            <w:tcW w:type="dxa" w:w="1080"/>
          </w:tcPr>
          <w:p>
            <w:r>
              <w:rPr>
                <w:rFonts w:ascii="Calibri" w:hAnsi="Calibri"/>
                <w:sz w:val="22"/>
              </w:rPr>
              <w:t>$28.1B</w:t>
            </w:r>
          </w:p>
        </w:tc>
        <w:tc>
          <w:tcPr>
            <w:tcW w:type="dxa" w:w="1080"/>
          </w:tcPr>
          <w:p>
            <w:r>
              <w:rPr>
                <w:rFonts w:ascii="Calibri" w:hAnsi="Calibri"/>
                <w:sz w:val="22"/>
              </w:rPr>
              <w:t>$28.8B</w:t>
            </w:r>
          </w:p>
        </w:tc>
        <w:tc>
          <w:tcPr>
            <w:tcW w:type="dxa" w:w="1080"/>
          </w:tcPr>
          <w:p>
            <w:r>
              <w:rPr>
                <w:rFonts w:ascii="Calibri" w:hAnsi="Calibri"/>
                <w:b/>
                <w:color w:val="30A46C"/>
                <w:sz w:val="22"/>
              </w:rPr>
              <w:t>+2.5%</w:t>
            </w:r>
          </w:p>
        </w:tc>
        <w:tc>
          <w:tcPr>
            <w:tcW w:type="dxa" w:w="1080"/>
          </w:tcPr>
          <w:p>
            <w:r>
              <w:rPr>
                <w:rFonts w:ascii="Calibri" w:hAnsi="Calibri"/>
                <w:sz w:val="22"/>
              </w:rPr>
              <w:t>N/A (no explicit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Copper Sales Volume (Q2 2026, Mlbs)</w:t>
            </w:r>
          </w:p>
        </w:tc>
        <w:tc>
          <w:tcPr>
            <w:tcW w:type="dxa" w:w="1080"/>
          </w:tcPr>
          <w:p>
            <w:r>
              <w:rPr>
                <w:rFonts w:ascii="Calibri" w:hAnsi="Calibri"/>
                <w:sz w:val="22"/>
              </w:rPr>
              <w:t>699 Mlbs</w:t>
            </w:r>
          </w:p>
        </w:tc>
        <w:tc>
          <w:tcPr>
            <w:tcW w:type="dxa" w:w="1080"/>
          </w:tcPr>
          <w:p>
            <w:r>
              <w:rPr>
                <w:rFonts w:ascii="Calibri" w:hAnsi="Calibri"/>
                <w:sz w:val="22"/>
              </w:rPr>
              <w:t>691 Mlbs</w:t>
            </w:r>
          </w:p>
        </w:tc>
        <w:tc>
          <w:tcPr>
            <w:tcW w:type="dxa" w:w="1080"/>
          </w:tcPr>
          <w:p>
            <w:r>
              <w:rPr>
                <w:rFonts w:ascii="Calibri" w:hAnsi="Calibri"/>
                <w:b/>
                <w:color w:val="E5484D"/>
                <w:sz w:val="22"/>
              </w:rPr>
              <w:t>−1.1%</w:t>
            </w:r>
          </w:p>
        </w:tc>
        <w:tc>
          <w:tcPr>
            <w:tcW w:type="dxa" w:w="1080"/>
          </w:tcPr>
          <w:p>
            <w:r>
              <w:rPr>
                <w:rFonts w:ascii="Calibri" w:hAnsi="Calibri"/>
                <w:sz w:val="22"/>
              </w:rPr>
              <w:t>~30% above Q1 (implied ~855 Mlbs H2 avg.)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−19.2% below H2 guidance midpoint</w:t>
            </w:r>
          </w:p>
        </w:tc>
      </w:tr>
      <w:tr>
        <w:tc>
          <w:tcPr>
            <w:tcW w:type="dxa" w:w="1080"/>
          </w:tcPr>
          <w:p>
            <w:r>
              <w:rPr>
                <w:rFonts w:ascii="Calibri" w:hAnsi="Calibri"/>
                <w:sz w:val="22"/>
              </w:rPr>
              <w:t>Net Cash Cost — Copper (Q2 2026, $/lb)</w:t>
            </w:r>
          </w:p>
        </w:tc>
        <w:tc>
          <w:tcPr>
            <w:tcW w:type="dxa" w:w="1080"/>
          </w:tcPr>
          <w:p>
            <w:r>
              <w:rPr>
                <w:rFonts w:ascii="Calibri" w:hAnsi="Calibri"/>
                <w:sz w:val="22"/>
              </w:rPr>
              <w:t>$1.95/lb</w:t>
            </w:r>
          </w:p>
        </w:tc>
        <w:tc>
          <w:tcPr>
            <w:tcW w:type="dxa" w:w="1080"/>
          </w:tcPr>
          <w:p>
            <w:r>
              <w:rPr>
                <w:rFonts w:ascii="Calibri" w:hAnsi="Calibri"/>
                <w:sz w:val="22"/>
              </w:rPr>
              <w:t>$2.09/lb</w:t>
            </w:r>
          </w:p>
        </w:tc>
        <w:tc>
          <w:tcPr>
            <w:tcW w:type="dxa" w:w="1080"/>
          </w:tcPr>
          <w:p>
            <w:r>
              <w:rPr>
                <w:rFonts w:ascii="Calibri" w:hAnsi="Calibri"/>
                <w:b/>
                <w:color w:val="E5484D"/>
                <w:sz w:val="22"/>
              </w:rPr>
              <w:t>+7.2%</w:t>
            </w:r>
          </w:p>
        </w:tc>
        <w:tc>
          <w:tcPr>
            <w:tcW w:type="dxa" w:w="1080"/>
          </w:tcPr>
          <w:p>
            <w:r>
              <w:rPr>
                <w:rFonts w:ascii="Calibri" w:hAnsi="Calibri"/>
                <w:sz w:val="22"/>
              </w:rPr>
              <w:t>~$1.95/lb FY avg.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+7.2% above FY guidance</w:t>
            </w:r>
          </w:p>
        </w:tc>
      </w:tr>
    </w:tbl>
    <w:p>
      <w:r>
        <w:rPr>
          <w:rFonts w:ascii="Calibri" w:hAnsi="Calibri"/>
          <w:i/>
          <w:color w:val="525866"/>
          <w:sz w:val="22"/>
        </w:rPr>
        <w:t>The upward drift in EPS and revenue estimates since the Q1 print reflects copper price strength (LME copper hit a record ~$6.39/lb in mid-May before settling near $5.90/lb), not volume recovery. Volume estimates have actually ticked slightly lower, consistent with the Grasberg bottleneck. The cost estimate creep (+7% above FY guidance) reflects ongoing diesel and sulfuric acid inflation from Middle East conflict disruptions.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FCX has </w:t>
      </w:r>
      <w:r>
        <w:rPr>
          <w:rFonts w:ascii="Calibri" w:hAnsi="Calibri"/>
          <w:b/>
          <w:color w:val="525866"/>
          <w:sz w:val="22"/>
        </w:rPr>
        <w:t>underperformed XME since Q1 earnings</w:t>
      </w:r>
      <w:r>
        <w:rPr>
          <w:rFonts w:ascii="Calibri" w:hAnsi="Calibri"/>
          <w:color w:val="525866"/>
          <w:sz w:val="22"/>
        </w:rPr>
        <w:t xml:space="preserve"> (FCX −12% vs. XME −15% indexed from Apr 23 close), with the stock's decline driven almost entirely by </w:t>
      </w:r>
      <w:r>
        <w:rPr>
          <w:rFonts w:ascii="Calibri" w:hAnsi="Calibri"/>
          <w:b/>
          <w:color w:val="525866"/>
          <w:sz w:val="22"/>
        </w:rPr>
        <w:t>multiple compression</w:t>
      </w:r>
      <w:r>
        <w:rPr>
          <w:rFonts w:ascii="Calibri" w:hAnsi="Calibri"/>
          <w:color w:val="525866"/>
          <w:sz w:val="22"/>
        </w:rPr>
        <w:t xml:space="preserve"> rather than estimate cuts — EV/EBITDA contracted from ~8.0x to ~7.2x over 3 months — as the Grasberg operational setback weighed on sentiment despite rising copper prices.</w:t>
      </w:r>
    </w:p>
    <w:p>
      <w:r>
        <w:rPr>
          <w:rFonts w:ascii="Calibri" w:hAnsi="Calibri"/>
          <w:color w:val="525866"/>
          <w:sz w:val="22"/>
        </w:rPr>
        <w:t>The chart below shows FCX vs. XME (SPDR S&amp;P Metals &amp; Mining ETF, the most relevant sector benchmark for diversified miners) and the S&amp;P 500 (SPY), indexed to 100 at the April 22, 2026 close (the day before Q1 earnings). FCX fell sharply on April 23 (Q1 earnings day) as the Grasberg bottleneck disclosure overshadowed the financial beat, then partially recovered through mid-May on copper price strength before pulling back again in June–July as copper moderated and Middle East conflict elevated input costs. XME broadly tracked FCX but with less idiosyncratic volatility. The S&amp;P 500 has outperformed both since earnings.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FCX vs. XME vs. S&amp;P 500 — Indexed to 100 at April 22, 2026 (day before Q1 2026 earnings). Source: Stock Price Data.</w:t>
      </w:r>
    </w:p>
    <w:p>
      <w:r>
        <w:rPr>
          <w:rFonts w:ascii="Calibri" w:hAnsi="Calibri"/>
          <w:b/>
          <w:color w:val="525866"/>
          <w:sz w:val="22"/>
        </w:rPr>
        <w:t>Key Events Marked:</w:t>
      </w:r>
    </w:p>
    <w:p>
      <w:pPr>
        <w:pStyle w:val="ListBullet"/>
        <w:ind w:left="360" w:hanging="360"/>
      </w:pPr>
      <w:r>
        <w:rPr>
          <w:rFonts w:ascii="Calibri" w:hAnsi="Calibri"/>
          <w:b/>
          <w:color w:val="525866"/>
          <w:sz w:val="22"/>
        </w:rPr>
        <w:t xml:space="preserve">Apr 23, 2026: </w:t>
      </w:r>
      <w:r>
        <w:rPr>
          <w:rFonts w:ascii="Calibri" w:hAnsi="Calibri"/>
          <w:color w:val="525866"/>
          <w:sz w:val="22"/>
        </w:rPr>
        <w:t>Q1 2026 earnings — financial beat but Grasberg bottleneck disclosed; FCX fell ~12.6% on the day</w:t>
      </w:r>
    </w:p>
    <w:p>
      <w:pPr>
        <w:pStyle w:val="ListBullet"/>
        <w:ind w:left="360" w:hanging="360"/>
      </w:pPr>
      <w:r>
        <w:rPr>
          <w:rFonts w:ascii="Calibri" w:hAnsi="Calibri"/>
          <w:b/>
          <w:color w:val="525866"/>
          <w:sz w:val="22"/>
        </w:rPr>
        <w:t xml:space="preserve">May 12, 2026: </w:t>
      </w:r>
      <w:r>
        <w:rPr>
          <w:rFonts w:ascii="Calibri" w:hAnsi="Calibri"/>
          <w:color w:val="525866"/>
          <w:sz w:val="22"/>
        </w:rPr>
        <w:t>BofA Global Metals Conference — management reiterated Grasberg timeline and leach progress; copper near record highs</w:t>
      </w:r>
    </w:p>
    <w:p>
      <w:pPr>
        <w:pStyle w:val="ListBullet"/>
        <w:ind w:left="360" w:hanging="360"/>
      </w:pPr>
      <w:r>
        <w:rPr>
          <w:rFonts w:ascii="Calibri" w:hAnsi="Calibri"/>
          <w:b/>
          <w:color w:val="525866"/>
          <w:sz w:val="22"/>
        </w:rPr>
        <w:t xml:space="preserve">Jun 5, 2026: </w:t>
      </w:r>
      <w:r>
        <w:rPr>
          <w:rFonts w:ascii="Calibri" w:hAnsi="Calibri"/>
          <w:color w:val="525866"/>
          <w:sz w:val="22"/>
        </w:rPr>
        <w:t>Copper prices pulled back sharply from mid-May highs; FCX declined ~9% in the week</w:t>
      </w:r>
    </w:p>
    <w:p>
      <w:pPr>
        <w:pStyle w:val="ListBullet"/>
        <w:ind w:left="360" w:hanging="360"/>
      </w:pPr>
      <w:r>
        <w:rPr>
          <w:rFonts w:ascii="Calibri" w:hAnsi="Calibri"/>
          <w:b/>
          <w:color w:val="525866"/>
          <w:sz w:val="22"/>
        </w:rPr>
        <w:t xml:space="preserve">Jul 8–14, 2026: </w:t>
      </w:r>
      <w:r>
        <w:rPr>
          <w:rFonts w:ascii="Calibri" w:hAnsi="Calibri"/>
          <w:color w:val="525866"/>
          <w:sz w:val="22"/>
        </w:rPr>
        <w:t>Renewed U.S.–Iran military conflict escalation; diesel/energy cost concerns weighed on FCX</w:t>
      </w:r>
    </w:p>
    <w:p>
      <w:r>
        <w:rPr>
          <w:rFonts w:ascii="Calibri" w:hAnsi="Calibri"/>
          <w:b/>
          <w:color w:val="525866"/>
          <w:sz w:val="22"/>
        </w:rPr>
        <w:t xml:space="preserve">Valuation Context: </w:t>
      </w:r>
      <w:r>
        <w:rPr>
          <w:rFonts w:ascii="Calibri" w:hAnsi="Calibri"/>
          <w:color w:val="525866"/>
          <w:sz w:val="22"/>
        </w:rPr>
        <w:t>FCX currently trades at ~7.2x NTM EV/EBITDA, down from ~8.0x at the time of Q1 earnings and ~8.4x six months ago. The 12-month return of +44% was driven by both earnings growth (+11% multiple expansion) and estimate revisions, but the more recent 3-month and 1-month periods show pure multiple compression as the Grasberg story has weighed on sentiment. At 7.2x, FCX trades at a modest discount to its 3-year average, suggesting the market is pricing in execution risk on the Grasberg ramp.</w:t>
      </w:r>
    </w:p>
    <w:p>
      <w:r>
        <w:rPr>
          <w:rFonts w:ascii="Calibri" w:hAnsi="Calibri"/>
          <w:i/>
          <w:color w:val="525866"/>
          <w:sz w:val="22"/>
        </w:rPr>
        <w:t>Source: Stock Price Data; Visible Alpha Consensus and Actuals Data (NTM EV/EBITDA multiples).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escalating U.S.–Iran military conflict</w:t>
      </w:r>
      <w:r>
        <w:rPr>
          <w:rFonts w:ascii="Calibri" w:hAnsi="Calibri"/>
          <w:color w:val="525866"/>
          <w:sz w:val="22"/>
        </w:rPr>
        <w:t xml:space="preserve"> disrupting the Strait of Hormuz — it has driven diesel prices sharply higher in Indonesia and disrupted sulfuric acid supply chains, directly pressuring FCX's unit cost guidance and creating a new risk to the $2.50/lb U.S. cost target.</w:t>
      </w:r>
    </w:p>
    <w:p>
      <w:pPr>
        <w:pStyle w:val="ListBullet"/>
        <w:ind w:left="360" w:hanging="360"/>
      </w:pPr>
      <w:r>
        <w:rPr>
          <w:rFonts w:ascii="Calibri" w:hAnsi="Calibri"/>
          <w:b/>
          <w:color w:val="525866"/>
          <w:sz w:val="22"/>
        </w:rPr>
        <w:t xml:space="preserve">Jul 8–22, 2026 — U.S.–Iran Military Conflict Escalation (Strait of Hormuz): </w:t>
      </w:r>
      <w:r>
        <w:rPr>
          <w:rFonts w:ascii="Calibri" w:hAnsi="Calibri"/>
          <w:color w:val="525866"/>
          <w:sz w:val="22"/>
        </w:rPr>
        <w:t xml:space="preserve">The U.S. resumed strikes on Iran and reimposed a naval blockade, with Brent crude rising &gt;5% on renewed supply disruption fears. </w:t>
      </w:r>
    </w:p>
    <w:p>
      <w:pPr>
        <w:pStyle w:val="ListBullet"/>
        <w:ind w:left="360" w:hanging="360"/>
      </w:pPr>
      <w:r>
        <w:rPr>
          <w:rFonts w:ascii="Calibri" w:hAnsi="Calibri"/>
          <w:b/>
          <w:color w:val="525866"/>
          <w:sz w:val="22"/>
        </w:rPr>
        <w:t xml:space="preserve">Implication for FCX: </w:t>
      </w:r>
      <w:r>
        <w:rPr>
          <w:rFonts w:ascii="Calibri" w:hAnsi="Calibri"/>
          <w:color w:val="525866"/>
          <w:sz w:val="22"/>
        </w:rPr>
        <w:t>Diesel prices in Indonesia (used for haul trucks and power generation) have risen sharply — management flagged a ~$500M annualized cost impact from the March diesel spike; further escalation compounds this. Sulfuric acid supply disruptions in DRC and Chile (confirmed by Rio Tinto's Q2 report) are also directly relevant to FCX's leach operations.</w:t>
      </w:r>
    </w:p>
    <w:p>
      <w:pPr>
        <w:pStyle w:val="ListBullet"/>
        <w:ind w:left="360" w:hanging="360"/>
      </w:pPr>
      <w:r>
        <w:rPr>
          <w:rFonts w:ascii="Calibri" w:hAnsi="Calibri"/>
          <w:b/>
          <w:color w:val="525866"/>
          <w:sz w:val="22"/>
        </w:rPr>
        <w:t xml:space="preserve">Jul 21, 2026 — Southern Copper (SCCO) Q2 2026 Earnings: </w:t>
      </w:r>
      <w:r>
        <w:rPr>
          <w:rFonts w:ascii="Calibri" w:hAnsi="Calibri"/>
          <w:color w:val="525866"/>
          <w:sz w:val="22"/>
        </w:rPr>
        <w:t xml:space="preserve">SCCO reported Q2 net income of $1.67B (+72% YoY) with a 39% net margin, driven by higher copper prices and cost discipline. Copper production was down 3.5% YoY due to lower grades. </w:t>
      </w:r>
    </w:p>
    <w:p>
      <w:pPr>
        <w:pStyle w:val="ListBullet"/>
        <w:ind w:left="360" w:hanging="360"/>
      </w:pPr>
      <w:r>
        <w:rPr>
          <w:rFonts w:ascii="Calibri" w:hAnsi="Calibri"/>
          <w:b/>
          <w:color w:val="525866"/>
          <w:sz w:val="22"/>
        </w:rPr>
        <w:t xml:space="preserve">Implication for FCX: </w:t>
      </w:r>
      <w:r>
        <w:rPr>
          <w:rFonts w:ascii="Calibri" w:hAnsi="Calibri"/>
          <w:color w:val="525866"/>
          <w:sz w:val="22"/>
        </w:rPr>
        <w:t>Strong SCCO financials confirm the favorable copper price environment in Q2 (LME copper averaged well above $5/lb). SCCO's cost discipline and margin expansion are a positive read-through for FCX's U.S. and South American operations.</w:t>
      </w:r>
    </w:p>
    <w:p>
      <w:pPr>
        <w:pStyle w:val="ListBullet"/>
        <w:ind w:left="360" w:hanging="360"/>
      </w:pPr>
      <w:r>
        <w:rPr>
          <w:rFonts w:ascii="Calibri" w:hAnsi="Calibri"/>
          <w:b/>
          <w:color w:val="525866"/>
          <w:sz w:val="22"/>
        </w:rPr>
        <w:t xml:space="preserve">Jul 15, 2026 — Rio Tinto Q2 2026 Production Report: </w:t>
      </w:r>
      <w:r>
        <w:rPr>
          <w:rFonts w:ascii="Calibri" w:hAnsi="Calibri"/>
          <w:color w:val="525866"/>
          <w:sz w:val="22"/>
        </w:rPr>
        <w:t xml:space="preserve">RIO reported consolidated copper production of 213kt in Q2 (-7% YoY), with LME copper hitting a record $6.39/lb in mid-May before settling near $5.90/lb. RIO reduced its Copper C1 net unit cost guidance to $0.30–0.50/lb (from $0.65–0.75/lb) due to higher gold prices and productivity gains. Concentrate market was "extremely tight" with spot TC/RCs at a record low of -$150/t. </w:t>
      </w:r>
    </w:p>
    <w:p>
      <w:pPr>
        <w:pStyle w:val="ListBullet"/>
        <w:ind w:left="360" w:hanging="360"/>
      </w:pPr>
      <w:r>
        <w:rPr>
          <w:rFonts w:ascii="Calibri" w:hAnsi="Calibri"/>
          <w:b/>
          <w:color w:val="525866"/>
          <w:sz w:val="22"/>
        </w:rPr>
        <w:t xml:space="preserve">Implication for FCX: </w:t>
      </w:r>
      <w:r>
        <w:rPr>
          <w:rFonts w:ascii="Calibri" w:hAnsi="Calibri"/>
          <w:color w:val="525866"/>
          <w:sz w:val="22"/>
        </w:rPr>
        <w:t>Record copper prices in Q2 are a direct revenue tailwind for FCX. The tight concentrate market benefits FCX's smelting operations. RIO's sulfuric acid supply disruptions in DRC and Chile (from Middle East conflict) are a direct read-through risk for FCX's leach operations.</w:t>
      </w:r>
    </w:p>
    <w:p>
      <w:pPr>
        <w:pStyle w:val="ListBullet"/>
        <w:ind w:left="360" w:hanging="360"/>
      </w:pPr>
      <w:r>
        <w:rPr>
          <w:rFonts w:ascii="Calibri" w:hAnsi="Calibri"/>
          <w:b/>
          <w:color w:val="525866"/>
          <w:sz w:val="22"/>
        </w:rPr>
        <w:t xml:space="preserve">Jul 21, 2026 — Steel Dynamics (STLD) Q2 2026 Results: </w:t>
      </w:r>
      <w:r>
        <w:rPr>
          <w:rFonts w:ascii="Calibri" w:hAnsi="Calibri"/>
          <w:color w:val="525866"/>
          <w:sz w:val="22"/>
        </w:rPr>
        <w:t xml:space="preserve">STLD reported Q2 EBITDA of $921M (vs. Street $884M) and sales of $6.1B (vs. Street $5.58B), citing healthy steel industry fundamentals including improved pricing, solid demand, and declining customer inventory levels. </w:t>
      </w:r>
    </w:p>
    <w:p>
      <w:pPr>
        <w:pStyle w:val="ListBullet"/>
        <w:ind w:left="360" w:hanging="360"/>
      </w:pPr>
      <w:r>
        <w:rPr>
          <w:rFonts w:ascii="Calibri" w:hAnsi="Calibri"/>
          <w:b/>
          <w:color w:val="525866"/>
          <w:sz w:val="22"/>
        </w:rPr>
        <w:t xml:space="preserve">Implication for FCX: </w:t>
      </w:r>
      <w:r>
        <w:rPr>
          <w:rFonts w:ascii="Calibri" w:hAnsi="Calibri"/>
          <w:color w:val="525866"/>
          <w:sz w:val="22"/>
        </w:rPr>
        <w:t>Confirms broad industrial metals demand strength in Q2, supportive of copper demand.</w:t>
      </w:r>
    </w:p>
    <w:p>
      <w:pPr>
        <w:pStyle w:val="ListBullet"/>
        <w:ind w:left="360" w:hanging="360"/>
      </w:pPr>
      <w:r>
        <w:rPr>
          <w:rFonts w:ascii="Calibri" w:hAnsi="Calibri"/>
          <w:b/>
          <w:color w:val="525866"/>
          <w:sz w:val="22"/>
        </w:rPr>
        <w:t xml:space="preserve">May 12, 2026 — BofA Global Metals Conference: </w:t>
      </w:r>
      <w:r>
        <w:rPr>
          <w:rFonts w:ascii="Calibri" w:hAnsi="Calibri"/>
          <w:color w:val="525866"/>
          <w:sz w:val="22"/>
        </w:rPr>
        <w:t xml:space="preserve">FCX management reiterated the Grasberg ramp-up timeline (60–65% capacity H2 2026, ~80% mid-2027, full by end-2027), confirmed heat injection boilers are now constructed at Morenci, and highlighted the life-of-resource extension MOU with Indonesia as a strategic breakthrough enabling multi-decade planning. </w:t>
      </w:r>
    </w:p>
    <w:p>
      <w:pPr>
        <w:pStyle w:val="ListBullet"/>
        <w:ind w:left="360" w:hanging="360"/>
      </w:pPr>
      <w:r>
        <w:rPr>
          <w:rFonts w:ascii="Calibri" w:hAnsi="Calibri"/>
          <w:b/>
          <w:color w:val="525866"/>
          <w:sz w:val="22"/>
        </w:rPr>
        <w:t xml:space="preserve">Implication for FCX: </w:t>
      </w:r>
      <w:r>
        <w:rPr>
          <w:rFonts w:ascii="Calibri" w:hAnsi="Calibri"/>
          <w:color w:val="525866"/>
          <w:sz w:val="22"/>
        </w:rPr>
        <w:t>No negative surprises; management tone consistent with Q1 call. Leach initiative advancing on schedule.</w:t>
      </w:r>
    </w:p>
    <w:p>
      <w:pPr>
        <w:pStyle w:val="ListBullet"/>
        <w:ind w:left="360" w:hanging="360"/>
      </w:pPr>
      <w:r>
        <w:rPr>
          <w:rFonts w:ascii="Calibri" w:hAnsi="Calibri"/>
          <w:b/>
          <w:color w:val="525866"/>
          <w:sz w:val="22"/>
        </w:rPr>
        <w:t xml:space="preserve">Jul 12, 2026 — China Establishes New Mining Investment Vehicle: </w:t>
      </w:r>
      <w:r>
        <w:rPr>
          <w:rFonts w:ascii="Calibri" w:hAnsi="Calibri"/>
          <w:color w:val="525866"/>
          <w:sz w:val="22"/>
        </w:rPr>
        <w:t xml:space="preserve">China launched a new Beijing-backed mining investment vehicle to bolster overseas resource control, targeting copper and other critical minerals. </w:t>
      </w:r>
    </w:p>
    <w:p>
      <w:pPr>
        <w:pStyle w:val="ListBullet"/>
        <w:ind w:left="360" w:hanging="360"/>
      </w:pPr>
      <w:r>
        <w:rPr>
          <w:rFonts w:ascii="Calibri" w:hAnsi="Calibri"/>
          <w:b/>
          <w:color w:val="525866"/>
          <w:sz w:val="22"/>
        </w:rPr>
        <w:t xml:space="preserve">Implication for FCX: </w:t>
      </w:r>
      <w:r>
        <w:rPr>
          <w:rFonts w:ascii="Calibri" w:hAnsi="Calibri"/>
          <w:color w:val="525866"/>
          <w:sz w:val="22"/>
        </w:rPr>
        <w:t>Long-term competitive dynamic; reinforces the strategic value of FCX's U.S. and Indonesian assets as Western-aligned supply.</w:t>
      </w:r>
    </w:p>
    <w:p>
      <w:pPr>
        <w:pStyle w:val="ListBullet"/>
        <w:ind w:left="360" w:hanging="360"/>
      </w:pPr>
      <w:r>
        <w:rPr>
          <w:rFonts w:ascii="Calibri" w:hAnsi="Calibri"/>
          <w:b/>
          <w:color w:val="525866"/>
          <w:sz w:val="22"/>
        </w:rPr>
        <w:t xml:space="preserve">Jul 20, 2026 — Trump Threatens 50% Tariffs on Canada: </w:t>
      </w:r>
      <w:r>
        <w:rPr>
          <w:rFonts w:ascii="Calibri" w:hAnsi="Calibri"/>
          <w:color w:val="525866"/>
          <w:sz w:val="22"/>
        </w:rPr>
        <w:t xml:space="preserve">President Trump announced potential 50% tariffs on most Canadian goods. </w:t>
      </w:r>
    </w:p>
    <w:p>
      <w:pPr>
        <w:pStyle w:val="ListBullet"/>
        <w:ind w:left="360" w:hanging="360"/>
      </w:pPr>
      <w:r>
        <w:rPr>
          <w:rFonts w:ascii="Calibri" w:hAnsi="Calibri"/>
          <w:b/>
          <w:color w:val="525866"/>
          <w:sz w:val="22"/>
        </w:rPr>
        <w:t xml:space="preserve">Implication for FCX: </w:t>
      </w:r>
      <w:r>
        <w:rPr>
          <w:rFonts w:ascii="Calibri" w:hAnsi="Calibri"/>
          <w:color w:val="525866"/>
          <w:sz w:val="22"/>
        </w:rPr>
        <w:t>Limited direct impact on FCX (minimal Canadian operations), but broader trade policy uncertainty could affect copper demand sentiment.</w:t>
      </w:r>
    </w:p>
    <w:p>
      <w:pPr>
        <w:pStyle w:val="ListBullet"/>
        <w:ind w:left="360" w:hanging="360"/>
      </w:pPr>
      <w:r>
        <w:rPr>
          <w:rFonts w:ascii="Calibri" w:hAnsi="Calibri"/>
          <w:b/>
          <w:color w:val="525866"/>
          <w:sz w:val="22"/>
        </w:rPr>
        <w:t xml:space="preserve">Jul 22, 2026 — Norsk Hydro Q2 Results: </w:t>
      </w:r>
      <w:r>
        <w:rPr>
          <w:rFonts w:ascii="Calibri" w:hAnsi="Calibri"/>
          <w:color w:val="525866"/>
          <w:sz w:val="22"/>
        </w:rPr>
        <w:t xml:space="preserve">Hydro shares outperformed after reporting solid Q2 EBITDA upside driven by higher aluminum prices and product premiums. </w:t>
      </w:r>
    </w:p>
    <w:p>
      <w:pPr>
        <w:pStyle w:val="ListBullet"/>
        <w:ind w:left="360" w:hanging="360"/>
      </w:pPr>
      <w:r>
        <w:rPr>
          <w:rFonts w:ascii="Calibri" w:hAnsi="Calibri"/>
          <w:b/>
          <w:color w:val="525866"/>
          <w:sz w:val="22"/>
        </w:rPr>
        <w:t xml:space="preserve">Implication for FCX: </w:t>
      </w:r>
      <w:r>
        <w:rPr>
          <w:rFonts w:ascii="Calibri" w:hAnsi="Calibri"/>
          <w:color w:val="525866"/>
          <w:sz w:val="22"/>
        </w:rPr>
        <w:t>Confirms favorable base metals pricing environment in Q2 across the sector.</w:t>
      </w:r>
    </w:p>
    <w:p>
      <w:r>
        <w:br w:type="page"/>
      </w:r>
    </w:p>
    <w:p>
      <w:pPr>
        <w:pStyle w:val="Heading2"/>
      </w:pPr>
      <w:r>
        <w:rPr>
          <w:rFonts w:ascii="Calibri" w:hAnsi="Calibri"/>
          <w:b/>
          <w:color w:val="3B4259"/>
          <w:sz w:val="28"/>
        </w:rPr>
        <w:t>Peer Commentary &amp;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past 60 days is </w:t>
      </w:r>
      <w:r>
        <w:rPr>
          <w:rFonts w:ascii="Calibri" w:hAnsi="Calibri"/>
          <w:b/>
          <w:color w:val="525866"/>
          <w:sz w:val="22"/>
        </w:rPr>
        <w:t>broadly constructive for FCX's Q2</w:t>
      </w:r>
      <w:r>
        <w:rPr>
          <w:rFonts w:ascii="Calibri" w:hAnsi="Calibri"/>
          <w:color w:val="525866"/>
          <w:sz w:val="22"/>
        </w:rPr>
        <w:t xml:space="preserve"> — record copper prices in mid-May, a tight concentrate market, and strong peer financials all support revenue upside — but </w:t>
      </w:r>
      <w:r>
        <w:rPr>
          <w:rFonts w:ascii="Calibri" w:hAnsi="Calibri"/>
          <w:b/>
          <w:color w:val="525866"/>
          <w:sz w:val="22"/>
        </w:rPr>
        <w:t>sulfuric acid supply disruptions</w:t>
      </w:r>
      <w:r>
        <w:rPr>
          <w:rFonts w:ascii="Calibri" w:hAnsi="Calibri"/>
          <w:color w:val="525866"/>
          <w:sz w:val="22"/>
        </w:rPr>
        <w:t xml:space="preserve"> from the Middle East conflict are an emerging cost risk directly flagged by Rio Tinto that applies to FCX's leach operations.</w:t>
      </w:r>
    </w:p>
    <w:p>
      <w:r>
        <w:rPr>
          <w:rFonts w:ascii="Calibri" w:hAnsi="Calibri"/>
          <w:b/>
          <w:color w:val="525866"/>
          <w:sz w:val="22"/>
        </w:rPr>
        <w:t xml:space="preserve">Note: </w:t>
      </w:r>
      <w:r>
        <w:rPr>
          <w:rFonts w:ascii="Calibri" w:hAnsi="Calibri"/>
          <w:i/>
          <w:color w:val="525866"/>
          <w:sz w:val="22"/>
        </w:rPr>
        <w:t>Only commentary disclosed in the past 60 days (since May 22, 2026) that explicitly addresses Q2 2026 performance or post-Q1 2026 outlook is included below. Retrospective Q1 commentary has been excluded.</w:t>
      </w:r>
    </w:p>
    <w:p>
      <w:pPr>
        <w:pStyle w:val="Heading3"/>
      </w:pPr>
      <w:r>
        <w:rPr>
          <w:rFonts w:ascii="Calibri" w:hAnsi="Calibri"/>
          <w:b/>
          <w:color w:val="3B4259"/>
          <w:sz w:val="24"/>
        </w:rPr>
        <w:t>Rio Tinto (RIO) — Q2 2026 Production Report (July 15, 2026)</w:t>
      </w:r>
    </w:p>
    <w:p>
      <w:r>
        <w:rPr>
          <w:rFonts w:ascii="Calibri" w:hAnsi="Calibri"/>
          <w:b/>
          <w:color w:val="525866"/>
          <w:sz w:val="22"/>
        </w:rPr>
        <w:t xml:space="preserve">Copper Price Environment (Positive Read-Through): </w:t>
      </w:r>
      <w:r>
        <w:rPr>
          <w:rFonts w:ascii="Calibri" w:hAnsi="Calibri"/>
          <w:color w:val="525866"/>
          <w:sz w:val="22"/>
        </w:rPr>
        <w:t>"LME copper prices reached a record high of $6.39/lb ($14,096/t) in mid-May, supported by optimism around AI-driven electricity demand, strong investor flows and renewed supply disruption concerns. LME prices have since moderated, largely due to a stronger US dollar, but have remained supported around $5.90/lb ($13,000/t)."</w:t>
      </w:r>
    </w:p>
    <w:p>
      <w:r>
        <w:rPr>
          <w:rFonts w:ascii="Calibri" w:hAnsi="Calibri"/>
          <w:b/>
          <w:color w:val="525866"/>
          <w:sz w:val="22"/>
        </w:rPr>
        <w:t xml:space="preserve">FCX Read-Through: </w:t>
      </w:r>
      <w:r>
        <w:rPr>
          <w:rFonts w:ascii="Calibri" w:hAnsi="Calibri"/>
          <w:color w:val="525866"/>
          <w:sz w:val="22"/>
        </w:rPr>
        <w:t>Record copper prices in Q2 are a direct revenue tailwind for FCX. With FCX's Q2 copper sales volume consensus at ~691 Mlbs, each $0.10/lb move in realized price equates to roughly $69M in quarterly revenue. The $5.90/lb average is well above the ~$4.50–4.80/lb embedded in FCX's original guidance, creating meaningful upside to consensus revenue and EPS estimates.</w:t>
      </w:r>
    </w:p>
    <w:p>
      <w:r>
        <w:rPr>
          <w:rFonts w:ascii="Calibri" w:hAnsi="Calibri"/>
          <w:b/>
          <w:color w:val="525866"/>
          <w:sz w:val="22"/>
        </w:rPr>
        <w:t xml:space="preserve">Concentrate Market Tightness (Positive Read-Through): </w:t>
      </w:r>
      <w:r>
        <w:rPr>
          <w:rFonts w:ascii="Calibri" w:hAnsi="Calibri"/>
          <w:color w:val="525866"/>
          <w:sz w:val="22"/>
        </w:rPr>
        <w:t>"The copper concentrate market remained extremely tight in Q2, with spot treatment and refining charges ending the quarter at a record low of -$150/t."</w:t>
      </w:r>
    </w:p>
    <w:p>
      <w:r>
        <w:rPr>
          <w:rFonts w:ascii="Calibri" w:hAnsi="Calibri"/>
          <w:b/>
          <w:color w:val="525866"/>
          <w:sz w:val="22"/>
        </w:rPr>
        <w:t xml:space="preserve">FCX Read-Through: </w:t>
      </w:r>
      <w:r>
        <w:rPr>
          <w:rFonts w:ascii="Calibri" w:hAnsi="Calibri"/>
          <w:color w:val="525866"/>
          <w:sz w:val="22"/>
        </w:rPr>
        <w:t>Negative TC/RCs benefit integrated miners like FCX that sell concentrate — smelters must pay a premium to secure supply. FCX's Atlantic Copper smelter in Spain is a natural hedge, but the tight market broadly benefits FCX's concentrate sales from Grasberg and U.S. operations.</w:t>
      </w:r>
    </w:p>
    <w:p>
      <w:r>
        <w:rPr>
          <w:rFonts w:ascii="Calibri" w:hAnsi="Calibri"/>
          <w:b/>
          <w:color w:val="525866"/>
          <w:sz w:val="22"/>
        </w:rPr>
        <w:t xml:space="preserve">Sulfuric Acid Supply Disruption (Negative Read-Through): </w:t>
      </w:r>
      <w:r>
        <w:rPr>
          <w:rFonts w:ascii="Calibri" w:hAnsi="Calibri"/>
          <w:color w:val="525866"/>
          <w:sz w:val="22"/>
        </w:rPr>
        <w:t>"Copper leaching operations in the DRC and Chile are facing disruptions to sulphuric acid supply due to the Middle East conflict. While no cost-related curtailments have been observed, acid shortages have reportedly reduced output at some operations."</w:t>
      </w:r>
    </w:p>
    <w:p>
      <w:r>
        <w:rPr>
          <w:rFonts w:ascii="Calibri" w:hAnsi="Calibri"/>
          <w:b/>
          <w:color w:val="525866"/>
          <w:sz w:val="22"/>
        </w:rPr>
        <w:t xml:space="preserve">FCX Read-Through: </w:t>
      </w:r>
      <w:r>
        <w:rPr>
          <w:rFonts w:ascii="Calibri" w:hAnsi="Calibri"/>
          <w:color w:val="525866"/>
          <w:sz w:val="22"/>
        </w:rPr>
        <w:t>This is a direct risk for FCX's leach operations in the U.S. (Morenci, Safford/Lone Star) and South America (El Abra, Cerro Verde). FCX management noted on the Q1 call that sulfuric acid spot prices "more than doubled" but that FCX has limited spot market exposure and a natural hedge from its smelters. However, if disruptions persist, this could pressure leach volumes and unit costs in Q2 and H2 2026.</w:t>
      </w:r>
    </w:p>
    <w:p>
      <w:r>
        <w:rPr>
          <w:rFonts w:ascii="Calibri" w:hAnsi="Calibri"/>
          <w:b/>
          <w:color w:val="525866"/>
          <w:sz w:val="22"/>
        </w:rPr>
        <w:t xml:space="preserve">Cost Guidance Reduction (Positive Read-Through): </w:t>
      </w:r>
      <w:r>
        <w:rPr>
          <w:rFonts w:ascii="Calibri" w:hAnsi="Calibri"/>
          <w:color w:val="525866"/>
          <w:sz w:val="22"/>
        </w:rPr>
        <w:t>"Copper C1 net unit cost guidance has been reduced to US 30–50c/lb (from US 65–75c/lb) due to higher than expected gold prices and productivity improvements."</w:t>
      </w:r>
    </w:p>
    <w:p>
      <w:r>
        <w:rPr>
          <w:rFonts w:ascii="Calibri" w:hAnsi="Calibri"/>
          <w:b/>
          <w:color w:val="525866"/>
          <w:sz w:val="22"/>
        </w:rPr>
        <w:t xml:space="preserve">FCX Read-Through: </w:t>
      </w:r>
      <w:r>
        <w:rPr>
          <w:rFonts w:ascii="Calibri" w:hAnsi="Calibri"/>
          <w:color w:val="525866"/>
          <w:sz w:val="22"/>
        </w:rPr>
        <w:t>RIO's cost reduction was driven by higher gold by-product credits — gold prices averaged ~$4,026/oz in Q2 per RIO's report. FCX also has significant gold by-product credits from Grasberg (though volumes are constrained). Higher gold prices reduce FCX's net cash cost per pound of copper, providing a partial offset to diesel and acid cost inflation.</w:t>
      </w:r>
    </w:p>
    <w:p>
      <w:r>
        <w:rPr>
          <w:rFonts w:ascii="Calibri" w:hAnsi="Calibri"/>
          <w:b/>
          <w:color w:val="525866"/>
          <w:sz w:val="22"/>
        </w:rPr>
        <w:t xml:space="preserve">Tariff Uncertainty on Copper Cathode (Watch): </w:t>
      </w:r>
      <w:r>
        <w:rPr>
          <w:rFonts w:ascii="Calibri" w:hAnsi="Calibri"/>
          <w:color w:val="525866"/>
          <w:sz w:val="22"/>
        </w:rPr>
        <w:t>"The US Government has not provided an update regarding possible tariffs on refined copper cathode imports. Chicago Mercantile Exchange (CME) copper prices continue trading above LME prices as a result and the US continues to import more copper cathode than is required to meet demand."</w:t>
      </w:r>
    </w:p>
    <w:p>
      <w:r>
        <w:rPr>
          <w:rFonts w:ascii="Calibri" w:hAnsi="Calibri"/>
          <w:b/>
          <w:color w:val="525866"/>
          <w:sz w:val="22"/>
        </w:rPr>
        <w:t xml:space="preserve">FCX Read-Through: </w:t>
      </w:r>
      <w:r>
        <w:rPr>
          <w:rFonts w:ascii="Calibri" w:hAnsi="Calibri"/>
          <w:color w:val="525866"/>
          <w:sz w:val="22"/>
        </w:rPr>
        <w:t>FCX is a major U.S. copper producer and would benefit from any tariff on imported cathode (Section 232 tariff on copper has been under consideration). The CME/LME premium reflects market anticipation of potential tariffs, which could boost FCX's U.S. realized prices.</w:t>
      </w:r>
    </w:p>
    <w:p>
      <w:pPr>
        <w:pStyle w:val="Heading3"/>
      </w:pPr>
      <w:r>
        <w:rPr>
          <w:rFonts w:ascii="Calibri" w:hAnsi="Calibri"/>
          <w:b/>
          <w:color w:val="3B4259"/>
          <w:sz w:val="24"/>
        </w:rPr>
        <w:t>Southern Copper (SCCO) — Q2 2026 Earnings Call (July 22, 2026)</w:t>
      </w:r>
    </w:p>
    <w:p>
      <w:r>
        <w:rPr>
          <w:rFonts w:ascii="Calibri" w:hAnsi="Calibri"/>
          <w:b/>
          <w:color w:val="525866"/>
          <w:sz w:val="22"/>
        </w:rPr>
        <w:t xml:space="preserve">Strong Financial Performance (Positive Read-Through): </w:t>
      </w:r>
      <w:r>
        <w:rPr>
          <w:rFonts w:ascii="Calibri" w:hAnsi="Calibri"/>
          <w:color w:val="525866"/>
          <w:sz w:val="22"/>
        </w:rPr>
        <w:t>"The net income margin in the second quarter of 2026 stood at 39%, versus 32% in the second quarter of 2025, mainly the results of higher net sales and the cost control measures that we impose in our operations." Net income was $1.67B, up 72% YoY.</w:t>
      </w:r>
    </w:p>
    <w:p>
      <w:r>
        <w:rPr>
          <w:rFonts w:ascii="Calibri" w:hAnsi="Calibri"/>
          <w:b/>
          <w:color w:val="525866"/>
          <w:sz w:val="22"/>
        </w:rPr>
        <w:t xml:space="preserve">FCX Read-Through: </w:t>
      </w:r>
      <w:r>
        <w:rPr>
          <w:rFonts w:ascii="Calibri" w:hAnsi="Calibri"/>
          <w:color w:val="525866"/>
          <w:sz w:val="22"/>
        </w:rPr>
        <w:t>SCCO's 72% YoY net income growth and 39% margin confirm that the copper price environment in Q2 was highly favorable for producers. FCX's U.S. and South American operations should benefit from similar pricing tailwinds, though FCX's margins are more constrained by the Grasberg volume shortfall.</w:t>
      </w:r>
    </w:p>
    <w:p>
      <w:r>
        <w:rPr>
          <w:rFonts w:ascii="Calibri" w:hAnsi="Calibri"/>
          <w:b/>
          <w:color w:val="525866"/>
          <w:sz w:val="22"/>
        </w:rPr>
        <w:t xml:space="preserve">Production Guidance Raised (Positive Read-Through): </w:t>
      </w:r>
      <w:r>
        <w:rPr>
          <w:rFonts w:ascii="Calibri" w:hAnsi="Calibri"/>
          <w:color w:val="525866"/>
          <w:sz w:val="22"/>
        </w:rPr>
        <w:t>"Our station was the first part of the year we were expecting to produce in 2026, about 910,000 tons of copper. Now we're expecting for this year 917,000 tons of copper."</w:t>
      </w:r>
    </w:p>
    <w:p>
      <w:r>
        <w:rPr>
          <w:rFonts w:ascii="Calibri" w:hAnsi="Calibri"/>
          <w:b/>
          <w:color w:val="525866"/>
          <w:sz w:val="22"/>
        </w:rPr>
        <w:t xml:space="preserve">FCX Read-Through: </w:t>
      </w:r>
      <w:r>
        <w:rPr>
          <w:rFonts w:ascii="Calibri" w:hAnsi="Calibri"/>
          <w:color w:val="525866"/>
          <w:sz w:val="22"/>
        </w:rPr>
        <w:t>SCCO's upward production revision (despite lower grades) suggests operational execution in South American copper mining has been solid in Q2. FCX's Cerro Verde (Peru) and El Abra (Chile) operations may have benefited from similar conditions.</w:t>
      </w:r>
    </w:p>
    <w:p>
      <w:r>
        <w:rPr>
          <w:rFonts w:ascii="Calibri" w:hAnsi="Calibri"/>
          <w:b/>
          <w:color w:val="525866"/>
          <w:sz w:val="22"/>
        </w:rPr>
        <w:t xml:space="preserve">Volume Timing Gap (Neutral): </w:t>
      </w:r>
      <w:r>
        <w:rPr>
          <w:rFonts w:ascii="Calibri" w:hAnsi="Calibri"/>
          <w:color w:val="525866"/>
          <w:sz w:val="22"/>
        </w:rPr>
        <w:t>"Sales was a little bit below production. I think we should do a little bit better in terms of volume in the second half." SCCO noted a gap between production and sales in Q2, with metal expected to flow through in H2.</w:t>
      </w:r>
    </w:p>
    <w:p>
      <w:r>
        <w:rPr>
          <w:rFonts w:ascii="Calibri" w:hAnsi="Calibri"/>
          <w:b/>
          <w:color w:val="525866"/>
          <w:sz w:val="22"/>
        </w:rPr>
        <w:t xml:space="preserve">FCX Read-Through: </w:t>
      </w:r>
      <w:r>
        <w:rPr>
          <w:rFonts w:ascii="Calibri" w:hAnsi="Calibri"/>
          <w:color w:val="525866"/>
          <w:sz w:val="22"/>
        </w:rPr>
        <w:t>FCX may face a similar timing dynamic given Grasberg's constrained production — any inventory build in Q2 could shift some revenue recognition to Q3. Watch for management commentary on sales vs. production timing.</w:t>
      </w:r>
    </w:p>
    <w:p>
      <w:r>
        <w:rPr>
          <w:rFonts w:ascii="Calibri" w:hAnsi="Calibri"/>
          <w:b/>
          <w:color w:val="525866"/>
          <w:sz w:val="22"/>
        </w:rPr>
        <w:t xml:space="preserve">Fuel Cost Pressures (Negative Read-Through): </w:t>
      </w:r>
      <w:r>
        <w:rPr>
          <w:rFonts w:ascii="Calibri" w:hAnsi="Calibri"/>
          <w:color w:val="525866"/>
          <w:sz w:val="22"/>
        </w:rPr>
        <w:t>SCCO's CFO noted "some changes in fuel prices and some other materials" affecting cost estimates for new projects, though the Tia Maria cash cost estimate of $1.16/lb was maintained.</w:t>
      </w:r>
    </w:p>
    <w:p>
      <w:r>
        <w:rPr>
          <w:rFonts w:ascii="Calibri" w:hAnsi="Calibri"/>
          <w:b/>
          <w:color w:val="525866"/>
          <w:sz w:val="22"/>
        </w:rPr>
        <w:t xml:space="preserve">FCX Read-Through: </w:t>
      </w:r>
      <w:r>
        <w:rPr>
          <w:rFonts w:ascii="Calibri" w:hAnsi="Calibri"/>
          <w:color w:val="525866"/>
          <w:sz w:val="22"/>
        </w:rPr>
        <w:t>Confirms that fuel cost inflation from the Middle East conflict is a sector-wide issue, not FCX-specific. FCX's exposure is larger given its Indonesian operations' reliance on diesel for power generation.</w:t>
      </w:r>
    </w:p>
    <w:p>
      <w:r>
        <w:rPr>
          <w:rFonts w:ascii="Calibri" w:hAnsi="Calibri"/>
          <w:b/>
          <w:color w:val="525866"/>
          <w:sz w:val="22"/>
        </w:rPr>
        <w:t xml:space="preserve">Peru Political Environment (Positive Read-Through): </w:t>
      </w:r>
      <w:r>
        <w:rPr>
          <w:rFonts w:ascii="Calibri" w:hAnsi="Calibri"/>
          <w:color w:val="525866"/>
          <w:sz w:val="22"/>
        </w:rPr>
        <w:t>"As Peru is poised to begin a new executive cycle, we're encouraged by the initial statements made by president elect Mrs. Keiko Fujimori." SCCO expects a more stable political environment and a focus on fighting illegal mining.</w:t>
      </w:r>
    </w:p>
    <w:p>
      <w:r>
        <w:rPr>
          <w:rFonts w:ascii="Calibri" w:hAnsi="Calibri"/>
          <w:b/>
          <w:color w:val="525866"/>
          <w:sz w:val="22"/>
        </w:rPr>
        <w:t xml:space="preserve">FCX Read-Through: </w:t>
      </w:r>
      <w:r>
        <w:rPr>
          <w:rFonts w:ascii="Calibri" w:hAnsi="Calibri"/>
          <w:color w:val="525866"/>
          <w:sz w:val="22"/>
        </w:rPr>
        <w:t>FCX has significant Peruvian exposure through Cerro Verde. A more stable, mining-friendly administration in Peru is a positive for FCX's South American operations and any future expansion plans.</w:t>
      </w:r>
    </w:p>
    <w:p>
      <w:pPr>
        <w:pStyle w:val="Heading3"/>
      </w:pPr>
      <w:r>
        <w:rPr>
          <w:rFonts w:ascii="Calibri" w:hAnsi="Calibri"/>
          <w:b/>
          <w:color w:val="3B4259"/>
          <w:sz w:val="24"/>
        </w:rPr>
        <w:t>Lundin Mining (LUN CN) — Capital Markets Day (June 17, 2026)</w:t>
      </w:r>
    </w:p>
    <w:p>
      <w:r>
        <w:rPr>
          <w:rFonts w:ascii="Calibri" w:hAnsi="Calibri"/>
          <w:b/>
          <w:color w:val="525866"/>
          <w:sz w:val="22"/>
        </w:rPr>
        <w:t xml:space="preserve">Long-Term Copper Price Assumption Raised (Positive Read-Through): </w:t>
      </w:r>
      <w:r>
        <w:rPr>
          <w:rFonts w:ascii="Calibri" w:hAnsi="Calibri"/>
          <w:color w:val="525866"/>
          <w:sz w:val="22"/>
        </w:rPr>
        <w:t>Lundin raised its long-term copper price assumption from $4.40/lb to $5.50/lb, kept flat through the projection period. "We're very, very excited about the demand drivers, which have become less cyclical recently and more secular in terms of trends and demand drivers."</w:t>
      </w:r>
    </w:p>
    <w:p>
      <w:r>
        <w:rPr>
          <w:rFonts w:ascii="Calibri" w:hAnsi="Calibri"/>
          <w:b/>
          <w:color w:val="525866"/>
          <w:sz w:val="22"/>
        </w:rPr>
        <w:t xml:space="preserve">FCX Read-Through: </w:t>
      </w:r>
      <w:r>
        <w:rPr>
          <w:rFonts w:ascii="Calibri" w:hAnsi="Calibri"/>
          <w:color w:val="525866"/>
          <w:sz w:val="22"/>
        </w:rPr>
        <w:t>A major copper producer raising its long-term price deck by 25% is a significant signal for the sector. FCX is highly leveraged to copper prices — each $0.10/lb change equates to ~$400M in annual EBITDA in 2027–2028. If the industry is converging on a higher long-term price, FCX's brownfield expansion economics (Bagdad, El Abra) become more compelling.</w:t>
      </w:r>
    </w:p>
    <w:p>
      <w:r>
        <w:rPr>
          <w:rFonts w:ascii="Calibri" w:hAnsi="Calibri"/>
          <w:b/>
          <w:color w:val="525866"/>
          <w:sz w:val="22"/>
        </w:rPr>
        <w:t xml:space="preserve">C1 Cost Guidance Unchanged at $1.90–$2.10/lb (Neutral): </w:t>
      </w:r>
      <w:r>
        <w:rPr>
          <w:rFonts w:ascii="Calibri" w:hAnsi="Calibri"/>
          <w:color w:val="525866"/>
          <w:sz w:val="22"/>
        </w:rPr>
        <w:t>Lundin reiterated its consolidated C1 cost guidance for FY 2026 at $1.90–$2.10/lb, with Chapada's guidance reduced to $0.75–$0.95/lb due to higher gold by-product prices and a favorable Brazilian court ruling on diesel taxes.</w:t>
      </w:r>
    </w:p>
    <w:p>
      <w:r>
        <w:rPr>
          <w:rFonts w:ascii="Calibri" w:hAnsi="Calibri"/>
          <w:b/>
          <w:color w:val="525866"/>
          <w:sz w:val="22"/>
        </w:rPr>
        <w:t xml:space="preserve">FCX Read-Through: </w:t>
      </w:r>
      <w:r>
        <w:rPr>
          <w:rFonts w:ascii="Calibri" w:hAnsi="Calibri"/>
          <w:color w:val="525866"/>
          <w:sz w:val="22"/>
        </w:rPr>
        <w:t>Lundin's cost stability (and Chapada's improvement) contrasts with FCX's cost guidance creep ($1.75 → $1.95/lb). The difference is largely Grasberg-specific (lower volumes = higher unit costs) rather than a sector-wide cost inflation story, which is somewhat reassuring for FCX's U.S. and South American cost trajectories.</w:t>
      </w:r>
    </w:p>
    <w:p>
      <w:r>
        <w:rPr>
          <w:rFonts w:ascii="Calibri" w:hAnsi="Calibri"/>
          <w:b/>
          <w:color w:val="525866"/>
          <w:sz w:val="22"/>
        </w:rPr>
        <w:t xml:space="preserve">Vicuna Project Sanctioning Decision Expected by End-2026 (Neutral): </w:t>
      </w:r>
      <w:r>
        <w:rPr>
          <w:rFonts w:ascii="Calibri" w:hAnsi="Calibri"/>
          <w:color w:val="525866"/>
          <w:sz w:val="22"/>
        </w:rPr>
        <w:t>Lundin and BHP are targeting a sanctioning decision for the Vicuna project (Argentina) before end-2026, with engineering at ~50% completion and major equipment already ordered.</w:t>
      </w:r>
    </w:p>
    <w:p>
      <w:r>
        <w:rPr>
          <w:rFonts w:ascii="Calibri" w:hAnsi="Calibri"/>
          <w:b/>
          <w:color w:val="525866"/>
          <w:sz w:val="22"/>
        </w:rPr>
        <w:t xml:space="preserve">FCX Read-Through: </w:t>
      </w:r>
      <w:r>
        <w:rPr>
          <w:rFonts w:ascii="Calibri" w:hAnsi="Calibri"/>
          <w:color w:val="525866"/>
          <w:sz w:val="22"/>
        </w:rPr>
        <w:t>Indirect read-through — confirms that major copper producers are committing to large-scale brownfield expansions at current copper prices, supporting the long-term supply/demand thesis that underpins FCX's own expansion pipeline (Bagdad, El Abra).</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insider buys or sells were identified for FCX in the period since the Q1 2026 earnings release (April 23, 2026 through July 22, 2026). The absence of insider activity is </w:t>
      </w:r>
      <w:r>
        <w:rPr>
          <w:rFonts w:ascii="Calibri" w:hAnsi="Calibri"/>
          <w:b/>
          <w:color w:val="525866"/>
          <w:sz w:val="22"/>
        </w:rPr>
        <w:t>neither a positive nor negative signal</w:t>
      </w:r>
      <w:r>
        <w:rPr>
          <w:rFonts w:ascii="Calibri" w:hAnsi="Calibri"/>
          <w:color w:val="525866"/>
          <w:sz w:val="22"/>
        </w:rPr>
        <w:t xml:space="preserve"> — it is common for insiders to be in blackout periods ahead of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Value</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No open-market transactions identified in the period Apr 23 – Jul 22,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Insiders likely in pre-earnings blackout period</w:t>
            </w:r>
          </w:p>
        </w:tc>
      </w:tr>
    </w:tbl>
    <w:p>
      <w:r>
        <w:rPr>
          <w:rFonts w:ascii="Calibri" w:hAnsi="Calibri"/>
          <w:i/>
          <w:color w:val="525866"/>
          <w:sz w:val="22"/>
        </w:rPr>
        <w:t>Source: SEC Form 4 Filings Database.</w:t>
      </w:r>
    </w:p>
    <w:p>
      <w:pPr>
        <w:pStyle w:val="Heading2"/>
      </w:pPr>
      <w:r>
        <w:rPr>
          <w:rFonts w:ascii="Calibri" w:hAnsi="Calibri"/>
          <w:b/>
          <w:color w:val="3B4259"/>
          <w:sz w:val="28"/>
        </w:rPr>
        <w:t>Risks &amp; Catalysts</w:t>
      </w:r>
    </w:p>
    <w:p>
      <w:pPr>
        <w:pStyle w:val="Heading3"/>
      </w:pPr>
      <w:r>
        <w:rPr>
          <w:rFonts w:ascii="Calibri" w:hAnsi="Calibri"/>
          <w:b/>
          <w:color w:val="3B4259"/>
          <w:sz w:val="24"/>
        </w:rPr>
        <w:t>Key Upside Catalysts</w:t>
      </w:r>
    </w:p>
    <w:p>
      <w:pPr>
        <w:pStyle w:val="ListBullet"/>
        <w:ind w:left="360" w:hanging="360"/>
      </w:pPr>
      <w:r>
        <w:rPr>
          <w:rFonts w:ascii="Calibri" w:hAnsi="Calibri"/>
          <w:b/>
          <w:color w:val="525866"/>
          <w:sz w:val="22"/>
        </w:rPr>
        <w:t xml:space="preserve">Grasberg Ramp-Up Ahead of Schedule: </w:t>
      </w:r>
      <w:r>
        <w:rPr>
          <w:rFonts w:ascii="Calibri" w:hAnsi="Calibri"/>
          <w:color w:val="525866"/>
          <w:sz w:val="22"/>
        </w:rPr>
        <w:t>Any indication that the chute regulator ("spillminator") installation is progressing faster than the mid-2027 timeline, or that throughput is tracking above the 60,000 tpd H2 2026 target, would be a significant positive catalyst. Management committed to quarterly updates.</w:t>
      </w:r>
    </w:p>
    <w:p>
      <w:pPr>
        <w:pStyle w:val="ListBullet"/>
        <w:ind w:left="360" w:hanging="360"/>
      </w:pPr>
      <w:r>
        <w:rPr>
          <w:rFonts w:ascii="Calibri" w:hAnsi="Calibri"/>
          <w:b/>
          <w:color w:val="525866"/>
          <w:sz w:val="22"/>
        </w:rPr>
        <w:t xml:space="preserve">Copper Price Realization Above Consensus: </w:t>
      </w:r>
      <w:r>
        <w:rPr>
          <w:rFonts w:ascii="Calibri" w:hAnsi="Calibri"/>
          <w:color w:val="525866"/>
          <w:sz w:val="22"/>
        </w:rPr>
        <w:t>LME copper averaged ~$5.90/lb in Q2 vs. the ~$4.50–4.80/lb embedded in original guidance. Each $0.10/lb above consensus equates to ~$69M in quarterly revenue and meaningful EPS upside. The CME/LME premium (from Section 232 tariff anticipation) could further boost U.S. realized prices.</w:t>
      </w:r>
    </w:p>
    <w:p>
      <w:pPr>
        <w:pStyle w:val="ListBullet"/>
        <w:ind w:left="360" w:hanging="360"/>
      </w:pPr>
      <w:r>
        <w:rPr>
          <w:rFonts w:ascii="Calibri" w:hAnsi="Calibri"/>
          <w:b/>
          <w:color w:val="525866"/>
          <w:sz w:val="22"/>
        </w:rPr>
        <w:t xml:space="preserve">$700M Insurance Recovery Collection: </w:t>
      </w:r>
      <w:r>
        <w:rPr>
          <w:rFonts w:ascii="Calibri" w:hAnsi="Calibri"/>
          <w:color w:val="525866"/>
          <w:sz w:val="22"/>
        </w:rPr>
        <w:t>The maximum-limit insurance recovery from the September 2025 Grasberg mud rush was recognized in Q1 but expected to be collected in Q2. If confirmed, this provides a significant one-time cash flow boost and demonstrates the company's risk management.</w:t>
      </w:r>
    </w:p>
    <w:p>
      <w:pPr>
        <w:pStyle w:val="ListBullet"/>
        <w:ind w:left="360" w:hanging="360"/>
      </w:pPr>
      <w:r>
        <w:rPr>
          <w:rFonts w:ascii="Calibri" w:hAnsi="Calibri"/>
          <w:b/>
          <w:color w:val="525866"/>
          <w:sz w:val="22"/>
        </w:rPr>
        <w:t xml:space="preserve">Leach Initiative Progress Update: </w:t>
      </w:r>
      <w:r>
        <w:rPr>
          <w:rFonts w:ascii="Calibri" w:hAnsi="Calibri"/>
          <w:color w:val="525866"/>
          <w:sz w:val="22"/>
        </w:rPr>
        <w:t>H2 2026 is described as a "pivotal" period for heat injection results at Morenci. Any positive early data from the boiler heat injection trials or next-generation additive testing could re-rate the leach initiative's NPV potential (management targets 800 Mlbs/year by 2030 at ~$1/lb incremental cost).</w:t>
      </w:r>
    </w:p>
    <w:p>
      <w:pPr>
        <w:pStyle w:val="ListBullet"/>
        <w:ind w:left="360" w:hanging="360"/>
      </w:pPr>
      <w:r>
        <w:rPr>
          <w:rFonts w:ascii="Calibri" w:hAnsi="Calibri"/>
          <w:b/>
          <w:color w:val="525866"/>
          <w:sz w:val="22"/>
        </w:rPr>
        <w:t xml:space="preserve">Section 232 Tariff on Copper Cathode: </w:t>
      </w:r>
      <w:r>
        <w:rPr>
          <w:rFonts w:ascii="Calibri" w:hAnsi="Calibri"/>
          <w:color w:val="525866"/>
          <w:sz w:val="22"/>
        </w:rPr>
        <w:t>The U.S. government has not yet announced tariffs on refined copper cathode imports, but CME copper continues to trade above LME. Any formal tariff announcement would be a significant positive for FCX's U.S. operations.</w:t>
      </w:r>
    </w:p>
    <w:p>
      <w:pPr>
        <w:pStyle w:val="ListBullet"/>
        <w:ind w:left="360" w:hanging="360"/>
      </w:pPr>
      <w:r>
        <w:rPr>
          <w:rFonts w:ascii="Calibri" w:hAnsi="Calibri"/>
          <w:b/>
          <w:color w:val="525866"/>
          <w:sz w:val="22"/>
        </w:rPr>
        <w:t xml:space="preserve">Bagdad Expansion Investment Decision: </w:t>
      </w:r>
      <w:r>
        <w:rPr>
          <w:rFonts w:ascii="Calibri" w:hAnsi="Calibri"/>
          <w:color w:val="525866"/>
          <w:sz w:val="22"/>
        </w:rPr>
        <w:t>Management indicated a mid-2026 investment decision for the Bagdad mine expansion in Arizona. Any announcement would signal confidence in long-term copper demand and FCX's balance sheet strength.</w:t>
      </w:r>
    </w:p>
    <w:p>
      <w:pPr>
        <w:pStyle w:val="ListBullet"/>
        <w:ind w:left="360" w:hanging="360"/>
      </w:pPr>
      <w:r>
        <w:rPr>
          <w:rFonts w:ascii="Calibri" w:hAnsi="Calibri"/>
          <w:b/>
          <w:color w:val="525866"/>
          <w:sz w:val="22"/>
        </w:rPr>
        <w:t xml:space="preserve">Indonesia Life-of-Resource Extension Progress: </w:t>
      </w:r>
      <w:r>
        <w:rPr>
          <w:rFonts w:ascii="Calibri" w:hAnsi="Calibri"/>
          <w:color w:val="525866"/>
          <w:sz w:val="22"/>
        </w:rPr>
        <w:t>The MOU signed in Q1 2026 to extend Grasberg operating rights beyond 2041 is a long-term value driver. Any progress toward a formal agreement would be incrementally positive.</w:t>
      </w:r>
    </w:p>
    <w:p>
      <w:pPr>
        <w:pStyle w:val="Heading3"/>
      </w:pPr>
      <w:r>
        <w:rPr>
          <w:rFonts w:ascii="Calibri" w:hAnsi="Calibri"/>
          <w:b/>
          <w:color w:val="3B4259"/>
          <w:sz w:val="24"/>
        </w:rPr>
        <w:t>Key Downside Risks</w:t>
      </w:r>
    </w:p>
    <w:p>
      <w:pPr>
        <w:pStyle w:val="ListBullet"/>
        <w:ind w:left="360" w:hanging="360"/>
      </w:pPr>
      <w:r>
        <w:rPr>
          <w:rFonts w:ascii="Calibri" w:hAnsi="Calibri"/>
          <w:b/>
          <w:color w:val="525866"/>
          <w:sz w:val="22"/>
        </w:rPr>
        <w:t xml:space="preserve">Grasberg Ramp-Up Further Delayed: </w:t>
      </w:r>
      <w:r>
        <w:rPr>
          <w:rFonts w:ascii="Calibri" w:hAnsi="Calibri"/>
          <w:color w:val="525866"/>
          <w:sz w:val="22"/>
        </w:rPr>
        <w:t>The primary risk is any indication that the chute regulator installation is behind schedule or that wet ore conditions have worsened beyond the 45% wet draw point ratio disclosed in Q1. A further delay to the mid-2027 80% capacity target would be a significant negative.</w:t>
      </w:r>
    </w:p>
    <w:p>
      <w:pPr>
        <w:pStyle w:val="ListBullet"/>
        <w:ind w:left="360" w:hanging="360"/>
      </w:pPr>
      <w:r>
        <w:rPr>
          <w:rFonts w:ascii="Calibri" w:hAnsi="Calibri"/>
          <w:b/>
          <w:color w:val="525866"/>
          <w:sz w:val="22"/>
        </w:rPr>
        <w:t xml:space="preserve">Diesel and Sulfuric Acid Cost Inflation: </w:t>
      </w:r>
      <w:r>
        <w:rPr>
          <w:rFonts w:ascii="Calibri" w:hAnsi="Calibri"/>
          <w:color w:val="525866"/>
          <w:sz w:val="22"/>
        </w:rPr>
        <w:t>The U.S.–Iran conflict has driven diesel prices sharply higher in Indonesia and disrupted sulfuric acid supply chains. If costs have continued to escalate in Q2, FCX's $1.95/lb FY unit cost guidance could prove too optimistic, and the U.S. $2.50/lb target for 2027 may be formally abandoned.</w:t>
      </w:r>
    </w:p>
    <w:p>
      <w:pPr>
        <w:pStyle w:val="ListBullet"/>
        <w:ind w:left="360" w:hanging="360"/>
      </w:pPr>
      <w:r>
        <w:rPr>
          <w:rFonts w:ascii="Calibri" w:hAnsi="Calibri"/>
          <w:b/>
          <w:color w:val="525866"/>
          <w:sz w:val="22"/>
        </w:rPr>
        <w:t xml:space="preserve">Copper Price Pullback: </w:t>
      </w:r>
      <w:r>
        <w:rPr>
          <w:rFonts w:ascii="Calibri" w:hAnsi="Calibri"/>
          <w:color w:val="525866"/>
          <w:sz w:val="22"/>
        </w:rPr>
        <w:t>Copper has moderated from its mid-May record of $6.39/lb to ~$5.90/lb. A further pullback driven by a stronger U.S. dollar, weaker China demand, or trade policy uncertainty could compress FCX's realized prices and EPS below consensus.</w:t>
      </w:r>
    </w:p>
    <w:p>
      <w:pPr>
        <w:pStyle w:val="ListBullet"/>
        <w:ind w:left="360" w:hanging="360"/>
      </w:pPr>
      <w:r>
        <w:rPr>
          <w:rFonts w:ascii="Calibri" w:hAnsi="Calibri"/>
          <w:b/>
          <w:color w:val="525866"/>
          <w:sz w:val="22"/>
        </w:rPr>
        <w:t xml:space="preserve">Leach Initiative Disappointment: </w:t>
      </w:r>
      <w:r>
        <w:rPr>
          <w:rFonts w:ascii="Calibri" w:hAnsi="Calibri"/>
          <w:color w:val="525866"/>
          <w:sz w:val="22"/>
        </w:rPr>
        <w:t>The leach initiative is a key long-term value driver, but it requires the combined effect of additives and heat to reach the 800 Mlbs/year target. If heat injection trials at Morenci show limited incremental recovery, the market could discount the initiative's NPV.</w:t>
      </w:r>
    </w:p>
    <w:p>
      <w:pPr>
        <w:pStyle w:val="ListBullet"/>
        <w:ind w:left="360" w:hanging="360"/>
      </w:pPr>
      <w:r>
        <w:rPr>
          <w:rFonts w:ascii="Calibri" w:hAnsi="Calibri"/>
          <w:b/>
          <w:color w:val="525866"/>
          <w:sz w:val="22"/>
        </w:rPr>
        <w:t xml:space="preserve">Peru Political Risk: </w:t>
      </w:r>
      <w:r>
        <w:rPr>
          <w:rFonts w:ascii="Calibri" w:hAnsi="Calibri"/>
          <w:color w:val="525866"/>
          <w:sz w:val="22"/>
        </w:rPr>
        <w:t>While the incoming Fujimori administration is viewed positively by SCCO, Peru has had significant political instability in recent years. Any deterioration in the operating environment for FCX's Cerro Verde mine could impact South American volumes.</w:t>
      </w:r>
    </w:p>
    <w:p>
      <w:pPr>
        <w:pStyle w:val="ListBullet"/>
        <w:ind w:left="360" w:hanging="360"/>
      </w:pPr>
      <w:r>
        <w:rPr>
          <w:rFonts w:ascii="Calibri" w:hAnsi="Calibri"/>
          <w:b/>
          <w:color w:val="525866"/>
          <w:sz w:val="22"/>
        </w:rPr>
        <w:t xml:space="preserve">PT Freeport Indonesia Timeline Dispute: </w:t>
      </w:r>
      <w:r>
        <w:rPr>
          <w:rFonts w:ascii="Calibri" w:hAnsi="Calibri"/>
          <w:color w:val="525866"/>
          <w:sz w:val="22"/>
        </w:rPr>
        <w:t>PT Freeport Indonesia's CEO has separately suggested early 2028 for full Grasberg recovery — a characterization FCX corporate has publicly disputed, reaffirming end-2027. Any convergence toward the 2028 timeline would be a negative surprise.</w:t>
      </w:r>
    </w:p>
    <w:p>
      <w:pPr>
        <w:pStyle w:val="ListBullet"/>
        <w:ind w:left="360" w:hanging="360"/>
      </w:pPr>
      <w:r>
        <w:rPr>
          <w:rFonts w:ascii="Calibri" w:hAnsi="Calibri"/>
          <w:b/>
          <w:color w:val="525866"/>
          <w:sz w:val="22"/>
        </w:rPr>
        <w:t xml:space="preserve">Trade Policy Uncertainty: </w:t>
      </w:r>
      <w:r>
        <w:rPr>
          <w:rFonts w:ascii="Calibri" w:hAnsi="Calibri"/>
          <w:color w:val="525866"/>
          <w:sz w:val="22"/>
        </w:rPr>
        <w:t>Escalating U.S. tariffs on Canada (50% threatened), Brazil (25% announced), and ongoing USMCA uncertainty could dampen industrial copper demand and create supply chain disruptions for FCX's customers.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