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FFIV before writing the preview. Let me gather recent earnings materials, news, and price data.Strong run YTD. Let me read the most recent quarter (Q2 2026) call and release, plus recent news for context.There's a notable "Cyber Incident" referenced in the financials. Let me research that and recent developments (Investor Day, guidance).Let me get the cyber incident context and check what drove the mid-July pullback, plus long-term targets from Investor Day.Let me get the long-term targets from the May Investor Day and check recent Street expectations.Let me verify Q3 FY25 comparables and grab the Investor Day long-term targets.The tool functions aren't available in the Python runtime. Let me use the tools directly.# F5, Inc. (FFIV) — Fiscal Q3 2026 Earnings Preview</w:t>
      </w:r>
      <w:r>
        <w:t xml:space="preserve"> </w:t>
      </w:r>
      <w:r>
        <w:rPr>
          <w:b/>
          <w:bCs/>
        </w:rPr>
        <w:t xml:space="preserve">Reports:</w:t>
      </w:r>
      <w:r>
        <w:t xml:space="preserve"> </w:t>
      </w:r>
      <w:r>
        <w:t xml:space="preserve">Monday, July 27, 2026 (after close) · Call 4:30pm ET · Quarter ended June 30, 2026</w:t>
      </w:r>
    </w:p>
    <w:p>
      <w:r>
        <w:pict>
          <v:rect style="width:0;height:1.5pt" o:hralign="center" o:hrstd="t" o:hr="t"/>
        </w:pict>
      </w:r>
    </w:p>
    <w:bookmarkStart w:id="9" w:name="Xe642fb77985e9e00a47a51ecf395e83ae9fe153"/>
    <w:p>
      <w:pPr>
        <w:pStyle w:val="Heading2"/>
      </w:pPr>
      <w:r>
        <w:t xml:space="preserve">The setup: a stretched stock into a high bar</w:t>
      </w:r>
    </w:p>
    <w:p>
      <w:pPr>
        <w:pStyle w:val="FirstParagraph"/>
      </w:pPr>
      <w:r>
        <w:t xml:space="preserve">Going into this print, the story is as much about expectations as fundamentals. FFIV has been one of the year's standout large-cap networking/security names — the stock roughly doubled off January lows (~$257) to an intraday peak near</w:t>
      </w:r>
      <w:r>
        <w:t xml:space="preserve"> </w:t>
      </w:r>
      <m:oMath>
        <m:r>
          <m:t>431</m:t>
        </m:r>
        <m:r>
          <m:t>o</m:t>
        </m:r>
        <m:r>
          <m:t>n</m:t>
        </m:r>
        <m:r>
          <m:t>J</m:t>
        </m:r>
        <m:r>
          <m:t>u</m:t>
        </m:r>
        <m:r>
          <m:t>l</m:t>
        </m:r>
        <m:r>
          <m:t>y</m:t>
        </m:r>
        <m:r>
          <m:t>14</m:t>
        </m:r>
        <m:r>
          <m:rPr>
            <m:sty m:val="p"/>
          </m:rPr>
          <m:t>,</m:t>
        </m:r>
        <m:r>
          <m:t>b</m:t>
        </m:r>
        <m:r>
          <m:t>e</m:t>
        </m:r>
        <m:r>
          <m:t>f</m:t>
        </m:r>
        <m:r>
          <m:t>o</m:t>
        </m:r>
        <m:r>
          <m:t>r</m:t>
        </m:r>
        <m:r>
          <m:t>e</m:t>
        </m:r>
        <m:r>
          <m:t>f</m:t>
        </m:r>
        <m:r>
          <m:t>a</m:t>
        </m:r>
        <m:r>
          <m:t>d</m:t>
        </m:r>
        <m:r>
          <m:t>i</m:t>
        </m:r>
        <m:r>
          <m:t>n</m:t>
        </m:r>
        <m:r>
          <m:t>g</m:t>
        </m:r>
        <m:r>
          <m:t> </m:t>
        </m:r>
        <m:r>
          <m:t>9</m:t>
        </m:r>
      </m:oMath>
      <w:r>
        <w:t xml:space="preserve">392 in the two weeks into the report. FFIV's stock has grown 37.8% over the past 52 weeks, outperforming the S&amp;P 500.</w:t>
      </w:r>
    </w:p>
    <w:p>
      <w:pPr>
        <w:pStyle w:val="BodyText"/>
      </w:pPr>
      <w:r>
        <w:t xml:space="preserve">That run reflects a dramatic sentiment reversal. Recall that F5 exited FY25 under a cloud: the company disclosed that a highly sophisticated nation-state threat actor maintained long-term, persistent access to, and downloaded files from, certain F5 systems (learned in August 2025, disclosed October 15). Management initially guided FY26 revenue growth to just</w:t>
      </w:r>
      <w:r>
        <w:t xml:space="preserve"> </w:t>
      </w:r>
      <w:r>
        <w:rPr>
          <w:b/>
          <w:bCs/>
        </w:rPr>
        <w:t xml:space="preserve">0%–4%</w:t>
      </w:r>
      <w:r>
        <w:t xml:space="preserve">, citing potential near-term deal delays as customers reviewed the incident, and the stock fell sharply. Since then, F5 has raised the FY26 outlook twice (to 5%–6%, then to</w:t>
      </w:r>
      <w:r>
        <w:t xml:space="preserve"> </w:t>
      </w:r>
      <w:r>
        <w:rPr>
          <w:b/>
          <w:bCs/>
        </w:rPr>
        <w:t xml:space="preserve">7%–8%</w:t>
      </w:r>
      <w:r>
        <w:t xml:space="preserve">), and the shares have more than recovered. The two-quarter beat-and-raise cadence is why the bar is now high.</w:t>
      </w:r>
    </w:p>
    <w:p>
      <w:pPr>
        <w:pStyle w:val="BodyText"/>
      </w:pPr>
      <w:r>
        <w:rPr>
          <w:b/>
          <w:bCs/>
        </w:rPr>
        <w:t xml:space="preserve">The key tension:</w:t>
      </w:r>
      <w:r>
        <w:t xml:space="preserve"> </w:t>
      </w:r>
      <w:r>
        <w:t xml:space="preserve">the modest, well-clustered analyst range means the reaction is likely binary. The narrow estimate range suggests the Street has coalesced around a relatively narrow outcome distribution, meaning surprises in either direction could trigger pronounced stock movement.</w:t>
      </w:r>
    </w:p>
    <w:p>
      <w:r>
        <w:pict>
          <v:rect style="width:0;height:1.5pt" o:hralign="center" o:hrstd="t" o:hr="t"/>
        </w:pict>
      </w:r>
    </w:p>
    <w:bookmarkEnd w:id="9"/>
    <w:bookmarkStart w:id="10" w:name="the-numbers"/>
    <w:p>
      <w:pPr>
        <w:pStyle w:val="Heading2"/>
      </w:pPr>
      <w:r>
        <w:t xml:space="preserve">The numbers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 (non-GAAP)</w:t>
            </w:r>
          </w:p>
        </w:tc>
        <w:tc>
          <w:tcPr/>
          <w:p>
            <w:pPr>
              <w:pStyle w:val="Compact"/>
            </w:pPr>
            <w:r>
              <w:t xml:space="preserve">Q3'26 Company Guide</w:t>
            </w:r>
          </w:p>
        </w:tc>
        <w:tc>
          <w:tcPr/>
          <w:p>
            <w:pPr>
              <w:pStyle w:val="Compact"/>
            </w:pPr>
            <w:r>
              <w:t xml:space="preserve">Street Consensus</w:t>
            </w:r>
          </w:p>
        </w:tc>
        <w:tc>
          <w:tcPr/>
          <w:p>
            <w:pPr>
              <w:pStyle w:val="Compact"/>
            </w:pPr>
            <w:r>
              <w:t xml:space="preserve">Q3'25 Actual</w:t>
            </w:r>
          </w:p>
        </w:tc>
        <w:tc>
          <w:tcPr/>
          <w:p>
            <w:pPr>
              <w:pStyle w:val="Compact"/>
            </w:pPr>
            <w:r>
              <w:t xml:space="preserve">Implied YoY</w:t>
            </w:r>
          </w:p>
        </w:tc>
      </w:tr>
      <w:tr>
        <w:tc>
          <w:tcPr/>
          <w:p>
            <w:pPr>
              <w:pStyle w:val="Compact"/>
            </w:pPr>
            <w:r>
              <w:t xml:space="preserve">Revenue</w:t>
            </w:r>
          </w:p>
        </w:tc>
        <w:tc>
          <w:tcPr/>
          <w:p>
            <w:pPr>
              <w:pStyle w:val="Compact"/>
            </w:pPr>
            <m:oMath>
              <m:r>
                <m:t>820</m:t>
              </m:r>
              <m:r>
                <m:t>M</m:t>
              </m:r>
              <m:r>
                <m:rPr>
                  <m:sty m:val="p"/>
                </m:rPr>
                <m:t>–</m:t>
              </m:r>
            </m:oMath>
            <w:r>
              <w:t xml:space="preserve">840M</w:t>
            </w:r>
          </w:p>
        </w:tc>
        <w:tc>
          <w:tcPr/>
          <w:p>
            <w:pPr>
              <w:pStyle w:val="Compact"/>
            </w:pPr>
            <w:r>
              <w:t xml:space="preserve">~$832–834M</w:t>
            </w:r>
          </w:p>
        </w:tc>
        <w:tc>
          <w:tcPr/>
          <w:p>
            <w:pPr>
              <w:pStyle w:val="Compact"/>
            </w:pPr>
            <w:r>
              <w:t xml:space="preserve">$780M</w:t>
            </w:r>
          </w:p>
        </w:tc>
        <w:tc>
          <w:tcPr/>
          <w:p>
            <w:pPr>
              <w:pStyle w:val="Compact"/>
            </w:pPr>
            <w:r>
              <w:t xml:space="preserve">~+6.7%</w:t>
            </w:r>
          </w:p>
        </w:tc>
      </w:tr>
      <w:tr>
        <w:tc>
          <w:tcPr/>
          <w:p>
            <w:pPr>
              <w:pStyle w:val="Compact"/>
            </w:pPr>
            <w:r>
              <w:t xml:space="preserve">EPS</w:t>
            </w:r>
          </w:p>
        </w:tc>
        <w:tc>
          <w:tcPr/>
          <w:p>
            <w:pPr>
              <w:pStyle w:val="Compact"/>
            </w:pPr>
            <m:oMath>
              <m:r>
                <m:t>3.91</m:t>
              </m:r>
              <m:r>
                <m:rPr>
                  <m:sty m:val="p"/>
                </m:rPr>
                <m:t>–</m:t>
              </m:r>
            </m:oMath>
            <w:r>
              <w:t xml:space="preserve">4.03</w:t>
            </w:r>
          </w:p>
        </w:tc>
        <w:tc>
          <w:tcPr/>
          <w:p>
            <w:pPr>
              <w:pStyle w:val="Compact"/>
            </w:pPr>
            <w:r>
              <w:t xml:space="preserve">~</w:t>
            </w:r>
            <m:oMath>
              <m:r>
                <m:t>3.98</m:t>
              </m:r>
              <m:r>
                <m:rPr>
                  <m:sty m:val="p"/>
                </m:rPr>
                <m:t>–</m:t>
              </m:r>
            </m:oMath>
            <w:r>
              <w:t xml:space="preserve">4.00</w:t>
            </w:r>
          </w:p>
        </w:tc>
        <w:tc>
          <w:tcPr/>
          <w:p>
            <w:pPr>
              <w:pStyle w:val="Compact"/>
            </w:pPr>
            <w:r>
              <w:t xml:space="preserve">$4.16</w:t>
            </w:r>
          </w:p>
        </w:tc>
        <w:tc>
          <w:tcPr/>
          <w:p>
            <w:pPr>
              <w:pStyle w:val="Compact"/>
            </w:pPr>
            <w:r>
              <w:t xml:space="preserve">~ -4%</w:t>
            </w:r>
          </w:p>
        </w:tc>
      </w:tr>
      <w:tr>
        <w:tc>
          <w:tcPr/>
          <w:p>
            <w:pPr>
              <w:pStyle w:val="Compact"/>
            </w:pPr>
            <w:r>
              <w:t xml:space="preserve">Gross margin</w:t>
            </w:r>
          </w:p>
        </w:tc>
        <w:tc>
          <w:tcPr/>
          <w:p>
            <w:pPr>
              <w:pStyle w:val="Compact"/>
            </w:pPr>
            <w:r>
              <w:t xml:space="preserve">82.5%–83.5%</w:t>
            </w:r>
          </w:p>
        </w:tc>
        <w:tc>
          <w:tcPr/>
          <w:p>
            <w:pPr>
              <w:pStyle w:val="Compact"/>
            </w:pPr>
            <w:r>
              <w:t xml:space="preserve">—</w:t>
            </w:r>
          </w:p>
        </w:tc>
        <w:tc>
          <w:tcPr/>
          <w:p>
            <w:pPr>
              <w:pStyle w:val="Compact"/>
            </w:pPr>
            <w:r>
              <w:t xml:space="preserve">83.1%</w:t>
            </w:r>
          </w:p>
        </w:tc>
        <w:tc>
          <w:tcPr/>
          <w:p>
            <w:pPr>
              <w:pStyle w:val="Compact"/>
            </w:pPr>
            <w:r>
              <w:t xml:space="preserve">~flat</w:t>
            </w:r>
          </w:p>
        </w:tc>
      </w:tr>
    </w:tbl>
    <w:p>
      <w:pPr>
        <w:pStyle w:val="Compact"/>
        <w:numPr>
          <w:ilvl w:val="0"/>
          <w:numId w:val="1001"/>
        </w:numPr>
      </w:pPr>
      <w:r>
        <w:t xml:space="preserve">Wall Street is looking for F5 to report EPS of $4.00 on revenue of $833.6M, with twelve analysts covering the stock, EPS estimates ranging from $3.95 to $4.16 and revenue projections spanning $816.0M to $854.7M.</w:t>
      </w:r>
    </w:p>
    <w:p>
      <w:pPr>
        <w:pStyle w:val="Compact"/>
        <w:numPr>
          <w:ilvl w:val="0"/>
          <w:numId w:val="1001"/>
        </w:numPr>
      </w:pPr>
      <w:r>
        <w:t xml:space="preserve">The Zacks consensus of $3.98 suggests a year-over-year decrease of 4.33%, and has remained unchanged for the past 60 days.</w:t>
      </w:r>
    </w:p>
    <w:p>
      <w:pPr>
        <w:pStyle w:val="FirstParagraph"/>
      </w:pPr>
      <w:r>
        <w:rPr>
          <w:b/>
          <w:bCs/>
        </w:rPr>
        <w:t xml:space="preserve">Two things to keep straight on the YoY optics:</w:t>
      </w:r>
    </w:p>
    <w:p>
      <w:pPr>
        <w:pStyle w:val="Compact"/>
        <w:numPr>
          <w:ilvl w:val="0"/>
          <w:numId w:val="1002"/>
        </w:numPr>
      </w:pPr>
      <w:r>
        <w:t xml:space="preserve">The apparent EPS</w:t>
      </w:r>
      <w:r>
        <w:t xml:space="preserve"> </w:t>
      </w:r>
      <w:r>
        <w:rPr>
          <w:i/>
          <w:iCs/>
        </w:rPr>
        <w:t xml:space="preserve">decline</w:t>
      </w:r>
      <w:r>
        <w:t xml:space="preserve"> </w:t>
      </w:r>
      <w:r>
        <w:t xml:space="preserve">vs. Q3'25 is largely a</w:t>
      </w:r>
      <w:r>
        <w:t xml:space="preserve"> </w:t>
      </w:r>
      <w:r>
        <w:rPr>
          <w:b/>
          <w:bCs/>
        </w:rPr>
        <w:t xml:space="preserve">tax comp</w:t>
      </w:r>
      <w:r>
        <w:t xml:space="preserve">, not deterioration — Q3'25 carried an unusually low ~10.8% tax rate (EPS $4.16) versus F5's normalized ~20%–21% today. Underlying operating momentum is up.</w:t>
      </w:r>
    </w:p>
    <w:p>
      <w:pPr>
        <w:pStyle w:val="Compact"/>
        <w:numPr>
          <w:ilvl w:val="0"/>
          <w:numId w:val="1002"/>
        </w:numPr>
      </w:pPr>
      <w:r>
        <w:t xml:space="preserve">F5 has a strong recent beat history: earnings surpassed the Zacks consensus in each of the trailing four quarters, delivering an average earnings surprise of 16.18%. A print merely in-line with guidance would arguably be a modest disappointment given the run.</w:t>
      </w:r>
    </w:p>
    <w:p>
      <w:pPr>
        <w:pStyle w:val="FirstParagraph"/>
      </w:pPr>
      <w:r>
        <w:rPr>
          <w:b/>
          <w:bCs/>
        </w:rPr>
        <w:t xml:space="preserve">Full-year framing:</w:t>
      </w:r>
      <w:r>
        <w:t xml:space="preserve"> </w:t>
      </w:r>
      <w:r>
        <w:t xml:space="preserve">F5 guided FY26 to 7%–8% revenue growth and</w:t>
      </w:r>
      <w:r>
        <w:t xml:space="preserve"> </w:t>
      </w:r>
      <m:oMath>
        <m:r>
          <m:t>16.25</m:t>
        </m:r>
        <m:r>
          <m:rPr>
            <m:sty m:val="p"/>
          </m:rPr>
          <m:t>–</m:t>
        </m:r>
      </m:oMath>
      <w:r>
        <w:rPr>
          <w:b/>
          <w:bCs/>
        </w:rPr>
        <w:t xml:space="preserve">16.55 non-GAAP EPS</w:t>
      </w:r>
      <w:r>
        <w:t xml:space="preserve">. Through the first half, revenue was $1.63B (+9% YoY) and non-GAAP EPS was $8.35, so the H2 bar is very achievable — the debate is whether management raises the full year</w:t>
      </w:r>
      <w:r>
        <w:t xml:space="preserve"> </w:t>
      </w:r>
      <w:r>
        <w:rPr>
          <w:i/>
          <w:iCs/>
        </w:rPr>
        <w:t xml:space="preserve">again</w:t>
      </w:r>
      <w:r>
        <w:t xml:space="preserve">.</w:t>
      </w:r>
    </w:p>
    <w:p>
      <w:r>
        <w:pict>
          <v:rect style="width:0;height:1.5pt" o:hralign="center" o:hrstd="t" o:hr="t"/>
        </w:pict>
      </w:r>
    </w:p>
    <w:bookmarkEnd w:id="10"/>
    <w:bookmarkStart w:id="17" w:name="what-actually-matters-on-the-call"/>
    <w:p>
      <w:pPr>
        <w:pStyle w:val="Heading2"/>
      </w:pPr>
      <w:r>
        <w:t xml:space="preserve">What actually matters on the call</w:t>
      </w:r>
    </w:p>
    <w:bookmarkStart w:id="11" w:name="X44483b4051ac9dbb52fbe5dcfb62176fc2e56b3"/>
    <w:p>
      <w:pPr>
        <w:pStyle w:val="Heading3"/>
      </w:pPr>
      <w:r>
        <w:t xml:space="preserve">1. Does the guide get raised a third time? (And how conservative is Q3?)</w:t>
      </w:r>
    </w:p>
    <w:p>
      <w:pPr>
        <w:pStyle w:val="FirstParagraph"/>
      </w:pPr>
      <w:r>
        <w:t xml:space="preserve">The Q3 midpoint (~6.5% growth) looks conservative against the +11% Q2 and +9% first half. F5 has repeatedly under-promised and over-delivered post-breach. Watch whether Q4/FY26 is nudged higher — and, critically,</w:t>
      </w:r>
      <w:r>
        <w:t xml:space="preserve"> </w:t>
      </w:r>
      <w:r>
        <w:rPr>
          <w:b/>
          <w:bCs/>
        </w:rPr>
        <w:t xml:space="preserve">early FY27 framing</w:t>
      </w:r>
      <w:r>
        <w:t xml:space="preserve">, since infrastructure software has real timing variability. As one preview noted, guidance for Q4 and early commentary on fiscal 2027 visibility may matter as much as the Q3 numbers themselves.</w:t>
      </w:r>
    </w:p>
    <w:bookmarkEnd w:id="11"/>
    <w:bookmarkStart w:id="12" w:name="X7a153582e02b48d3a4c2ef78d6c0404cd1c4856"/>
    <w:p>
      <w:pPr>
        <w:pStyle w:val="Heading3"/>
      </w:pPr>
      <w:r>
        <w:t xml:space="preserve">2. Systems/hardware durability — the "Refresh Plus" cycle</w:t>
      </w:r>
    </w:p>
    <w:p>
      <w:pPr>
        <w:pStyle w:val="FirstParagraph"/>
      </w:pPr>
      <w:r>
        <w:t xml:space="preserve">Product revenue has now grown double digits for</w:t>
      </w:r>
      <w:r>
        <w:t xml:space="preserve"> </w:t>
      </w:r>
      <w:r>
        <w:rPr>
          <w:b/>
          <w:bCs/>
        </w:rPr>
        <w:t xml:space="preserve">seven straight quarters</w:t>
      </w:r>
      <w:r>
        <w:t xml:space="preserve">; Q2 systems revenue rose 26%. Management frames this as "Refresh Plus" — customers replacing legacy boxes</w:t>
      </w:r>
      <w:r>
        <w:t xml:space="preserve"> </w:t>
      </w:r>
      <w:r>
        <w:rPr>
          <w:i/>
          <w:iCs/>
        </w:rPr>
        <w:t xml:space="preserve">and</w:t>
      </w:r>
      <w:r>
        <w:t xml:space="preserve"> </w:t>
      </w:r>
      <w:r>
        <w:t xml:space="preserve">expanding footprint, moving up to higher-ASP appliances, and adding capacity for AI/sovereignty. The durability read-through:</w:t>
      </w:r>
    </w:p>
    <w:p>
      <w:pPr>
        <w:pStyle w:val="Compact"/>
        <w:numPr>
          <w:ilvl w:val="0"/>
          <w:numId w:val="1003"/>
        </w:numPr>
      </w:pPr>
      <w:r>
        <w:t xml:space="preserve">The</w:t>
      </w:r>
      <w:r>
        <w:t xml:space="preserve"> </w:t>
      </w:r>
      <w:r>
        <w:rPr>
          <w:b/>
          <w:bCs/>
        </w:rPr>
        <w:t xml:space="preserve">iSeries end-of-software-support</w:t>
      </w:r>
      <w:r>
        <w:t xml:space="preserve"> </w:t>
      </w:r>
      <w:r>
        <w:t xml:space="preserve">wave is still largely ahead — management says more than half of that installed base is un-refreshed, with the support cutoff ~3 quarters out, supporting strength "well into FY27."</w:t>
      </w:r>
    </w:p>
    <w:p>
      <w:pPr>
        <w:pStyle w:val="Compact"/>
        <w:numPr>
          <w:ilvl w:val="0"/>
          <w:numId w:val="1003"/>
        </w:numPr>
      </w:pPr>
      <w:r>
        <w:t xml:space="preserve">Competitive takeouts (Citrix, Broadcom/VMware) are accelerating as F5's hybrid-multicloud breadth wins consolidation deals.</w:t>
      </w:r>
    </w:p>
    <w:p>
      <w:pPr>
        <w:pStyle w:val="Compact"/>
        <w:numPr>
          <w:ilvl w:val="0"/>
          <w:numId w:val="1003"/>
        </w:numPr>
      </w:pPr>
      <w:r>
        <w:rPr>
          <w:b/>
          <w:bCs/>
        </w:rPr>
        <w:t xml:space="preserve">Risk:</w:t>
      </w:r>
      <w:r>
        <w:t xml:space="preserve"> </w:t>
      </w:r>
      <w:r>
        <w:t xml:space="preserve">hardware is inherently cyclical; the stock's multiple now embeds a lot of this. Any hint of the refresh peaking would matter.</w:t>
      </w:r>
    </w:p>
    <w:bookmarkEnd w:id="12"/>
    <w:bookmarkStart w:id="13" w:name="Xdfb4ce021214c9ff75693f217d96e58e1d0ae29"/>
    <w:p>
      <w:pPr>
        <w:pStyle w:val="Heading3"/>
      </w:pPr>
      <w:r>
        <w:t xml:space="preserve">3. Software — waiting for the FY27 inflection</w:t>
      </w:r>
    </w:p>
    <w:p>
      <w:pPr>
        <w:pStyle w:val="FirstParagraph"/>
      </w:pPr>
      <w:r>
        <w:t xml:space="preserve">Software is guided to only</w:t>
      </w:r>
      <w:r>
        <w:t xml:space="preserve"> </w:t>
      </w:r>
      <w:r>
        <w:rPr>
          <w:b/>
          <w:bCs/>
        </w:rPr>
        <w:t xml:space="preserve">mid-single-digit</w:t>
      </w:r>
      <w:r>
        <w:t xml:space="preserve"> </w:t>
      </w:r>
      <w:r>
        <w:t xml:space="preserve">growth in FY26 (Q2 was +17% but off an easy comp), because the renewal base laps a flat FY23. Management has repeatedly guided investors to expect a</w:t>
      </w:r>
      <w:r>
        <w:t xml:space="preserve"> </w:t>
      </w:r>
      <w:r>
        <w:rPr>
          <w:b/>
          <w:bCs/>
        </w:rPr>
        <w:t xml:space="preserve">higher software growth rate in FY27</w:t>
      </w:r>
      <w:r>
        <w:t xml:space="preserve"> </w:t>
      </w:r>
      <w:r>
        <w:t xml:space="preserve">as a larger renewal base comes due with strong consumption/expansion. Watch renewal/consumption commentary and any 90%+ subscription mix trends.</w:t>
      </w:r>
    </w:p>
    <w:bookmarkEnd w:id="13"/>
    <w:bookmarkStart w:id="14" w:name="Xe8cc7508ffda36dfa2b6421d4c3e3438ce00542"/>
    <w:p>
      <w:pPr>
        <w:pStyle w:val="Heading3"/>
      </w:pPr>
      <w:r>
        <w:t xml:space="preserve">4. Gross margin / memory costs — the clearest near-term risk</w:t>
      </w:r>
    </w:p>
    <w:p>
      <w:pPr>
        <w:pStyle w:val="FirstParagraph"/>
      </w:pPr>
      <w:r>
        <w:t xml:space="preserve">This is the one genuinely negative dynamic. F5 got ahead of surging memory/SSD prices by pre-buying components, but flagged that higher costs will start flowing through: gross margin is expected to</w:t>
      </w:r>
      <w:r>
        <w:t xml:space="preserve"> </w:t>
      </w:r>
      <w:r>
        <w:rPr>
          <w:b/>
          <w:bCs/>
        </w:rPr>
        <w:t xml:space="preserve">step down sequentially from Q3 into Q4</w:t>
      </w:r>
      <w:r>
        <w:t xml:space="preserve">, and management expects memory prices to stay elevated through much of FY27. Watch (a) whether Q3 GM holds the 82.5%–83.5% range, (b) the magnitude of the Q4 step-down, and (c) how much price/discount discipline offsets it (pricing actions mostly flow into FY27).</w:t>
      </w:r>
    </w:p>
    <w:bookmarkEnd w:id="14"/>
    <w:bookmarkStart w:id="15" w:name="Xeb53fa4ecdd7daef126a0ddc7ca390ea05b9448"/>
    <w:p>
      <w:pPr>
        <w:pStyle w:val="Heading3"/>
      </w:pPr>
      <w:r>
        <w:t xml:space="preserve">5. AI monetization — trajectory over magnitude</w:t>
      </w:r>
    </w:p>
    <w:p>
      <w:pPr>
        <w:pStyle w:val="FirstParagraph"/>
      </w:pPr>
      <w:r>
        <w:t xml:space="preserve">AI is the narrative driver. In H1, F5 did</w:t>
      </w:r>
      <w:r>
        <w:t xml:space="preserve"> </w:t>
      </w:r>
      <w:r>
        <w:rPr>
          <w:b/>
          <w:bCs/>
        </w:rPr>
        <w:t xml:space="preserve">~$50M in direct AI sales (+200% YoY) across ~100 customers</w:t>
      </w:r>
      <w:r>
        <w:t xml:space="preserve">, spanning three use cases: AI data delivery (most mature, hardware-led), AI runtime security (software, growing), and AI factory load balancing (most nascent; NVIDIA BlueField/DPU integration, in reference architecture, POC stage). Recently, F5 broadened the story further: it introduced the F5 AI Security Platform and announced the acquisition of SurePath AI, a pioneer in network-based AI discovery, intent classification, and shadow AI detection. Expect an updated AI data point and commentary on indirect AI-driven infrastructure demand.</w:t>
      </w:r>
    </w:p>
    <w:bookmarkEnd w:id="15"/>
    <w:bookmarkStart w:id="16" w:name="Xbf2b795c92d0e9cf2dc3c01d8300965b0cbd6e3"/>
    <w:p>
      <w:pPr>
        <w:pStyle w:val="Heading3"/>
      </w:pPr>
      <w:r>
        <w:t xml:space="preserve">6. Cyber-incident overhang</w:t>
      </w:r>
    </w:p>
    <w:p>
      <w:pPr>
        <w:pStyle w:val="FirstParagraph"/>
      </w:pPr>
      <w:r>
        <w:t xml:space="preserve">Business impact appears to have been far smaller than initially feared, but the incident spawned shareholder-litigation investigations focused on the timing and propriety of F5's disclosures. Any commentary on customer trust, remediation costs (a recurring non-GAAP add-back), or lingering deal friction is worth monitoring, though it's now a secondary issue.</w:t>
      </w:r>
    </w:p>
    <w:p>
      <w:r>
        <w:pict>
          <v:rect style="width:0;height:1.5pt" o:hralign="center" o:hrstd="t" o:hr="t"/>
        </w:pict>
      </w:r>
    </w:p>
    <w:bookmarkEnd w:id="16"/>
    <w:bookmarkEnd w:id="17"/>
    <w:bookmarkStart w:id="18" w:name="longer-term-frame-may-28-investor-day"/>
    <w:p>
      <w:pPr>
        <w:pStyle w:val="Heading2"/>
      </w:pPr>
      <w:r>
        <w:t xml:space="preserve">Longer-term frame (May 28 Investor Day)</w:t>
      </w:r>
    </w:p>
    <w:p>
      <w:pPr>
        <w:pStyle w:val="FirstParagraph"/>
      </w:pPr>
      <w:r>
        <w:t xml:space="preserve">The May analyst day reset the multi-year model and helps explain the re-rating. Management guided to</w:t>
      </w:r>
      <w:r>
        <w:t xml:space="preserve"> </w:t>
      </w:r>
      <w:r>
        <w:rPr>
          <w:b/>
          <w:bCs/>
        </w:rPr>
        <w:t xml:space="preserve">upper-single-digit revenue CAGR through FY29</w:t>
      </w:r>
      <w:r>
        <w:t xml:space="preserve"> </w:t>
      </w:r>
      <w:r>
        <w:t xml:space="preserve">(aspiring to double digits beyond) and</w:t>
      </w:r>
      <w:r>
        <w:t xml:space="preserve"> </w:t>
      </w:r>
      <w:r>
        <w:rPr>
          <w:b/>
          <w:bCs/>
        </w:rPr>
        <w:t xml:space="preserve">double-digit non-GAAP EPS CAGR</w:t>
      </w:r>
      <w:r>
        <w:t xml:space="preserve">, underpinned by three secular drivers — hybrid multicloud, an expanding threat landscape, and AI inference — and a TAM they size at ~</w:t>
      </w:r>
      <m:oMath>
        <m:r>
          <m:t>15</m:t>
        </m:r>
        <m:r>
          <m:t>B</m:t>
        </m:r>
        <m:r>
          <m:t>t</m:t>
        </m:r>
        <m:r>
          <m:t>o</m:t>
        </m:r>
        <m:r>
          <m:t>d</m:t>
        </m:r>
        <m:r>
          <m:t>a</m:t>
        </m:r>
        <m:r>
          <m:t>y</m:t>
        </m:r>
        <m:r>
          <m:t>g</m:t>
        </m:r>
        <m:r>
          <m:t>r</m:t>
        </m:r>
        <m:r>
          <m:t>o</m:t>
        </m:r>
        <m:r>
          <m:t>w</m:t>
        </m:r>
        <m:r>
          <m:t>i</m:t>
        </m:r>
        <m:r>
          <m:t>n</m:t>
        </m:r>
        <m:r>
          <m:t>g</m:t>
        </m:r>
        <m:r>
          <m:t>t</m:t>
        </m:r>
        <m:r>
          <m:t>o</m:t>
        </m:r>
        <m:r>
          <m:t> </m:t>
        </m:r>
      </m:oMath>
      <w:r>
        <w:t xml:space="preserve">28B by 2030 (~$40B including AI). They also flagged</w:t>
      </w:r>
      <w:r>
        <w:t xml:space="preserve"> </w:t>
      </w:r>
      <w:r>
        <w:rPr>
          <w:b/>
          <w:bCs/>
        </w:rPr>
        <w:t xml:space="preserve">post-quantum cryptography (PQC)</w:t>
      </w:r>
      <w:r>
        <w:t xml:space="preserve"> </w:t>
      </w:r>
      <w:r>
        <w:t xml:space="preserve">as a potential future hardware-refresh catalyst</w:t>
      </w:r>
      <w:r>
        <w:t xml:space="preserve"> </w:t>
      </w:r>
      <w:r>
        <w:rPr>
          <w:i/>
          <w:iCs/>
        </w:rPr>
        <w:t xml:space="preserve">not</w:t>
      </w:r>
      <w:r>
        <w:t xml:space="preserve"> </w:t>
      </w:r>
      <w:r>
        <w:t xml:space="preserve">baked into guidance. Systems is now expected to grow mid-single-digit sustainably (vs. prior structural-decline assumptions) and software double digits.</w:t>
      </w:r>
    </w:p>
    <w:p>
      <w:r>
        <w:pict>
          <v:rect style="width:0;height:1.5pt" o:hralign="center" o:hrstd="t" o:hr="t"/>
        </w:pict>
      </w:r>
    </w:p>
    <w:bookmarkEnd w:id="18"/>
    <w:bookmarkStart w:id="19" w:name="capital-returns"/>
    <w:p>
      <w:pPr>
        <w:pStyle w:val="Heading2"/>
      </w:pPr>
      <w:r>
        <w:t xml:space="preserve">Capital returns</w:t>
      </w:r>
    </w:p>
    <w:p>
      <w:pPr>
        <w:pStyle w:val="FirstParagraph"/>
      </w:pPr>
      <w:r>
        <w:t xml:space="preserve">F5 remains committed to returning</w:t>
      </w:r>
      <w:r>
        <w:t xml:space="preserve"> </w:t>
      </w:r>
      <w:r>
        <w:rPr>
          <w:b/>
          <w:bCs/>
        </w:rPr>
        <w:t xml:space="preserve">at least 50% of free cash flow</w:t>
      </w:r>
      <w:r>
        <w:t xml:space="preserve"> </w:t>
      </w:r>
      <w:r>
        <w:t xml:space="preserve">via buybacks (63% over the last six years), generated a record</w:t>
      </w:r>
      <w:r>
        <w:t xml:space="preserve"> </w:t>
      </w:r>
      <w:r>
        <w:rPr>
          <w:b/>
          <w:bCs/>
        </w:rPr>
        <w:t xml:space="preserve">$348M FCF in Q2</w:t>
      </w:r>
      <w:r>
        <w:t xml:space="preserve">, repurchased</w:t>
      </w:r>
      <w:r>
        <w:t xml:space="preserve"> </w:t>
      </w:r>
      <m:oMath>
        <m:r>
          <m:t>100</m:t>
        </m:r>
        <m:r>
          <m:t>M</m:t>
        </m:r>
        <m:r>
          <m:t>o</m:t>
        </m:r>
        <m:r>
          <m:t>f</m:t>
        </m:r>
        <m:r>
          <m:t>s</m:t>
        </m:r>
        <m:r>
          <m:t>t</m:t>
        </m:r>
        <m:r>
          <m:t>o</m:t>
        </m:r>
        <m:r>
          <m:t>c</m:t>
        </m:r>
        <m:r>
          <m:t>k</m:t>
        </m:r>
        <m:r>
          <m:t>i</m:t>
        </m:r>
        <m:r>
          <m:t>n</m:t>
        </m:r>
        <m:r>
          <m:t>Q</m:t>
        </m:r>
        <m:r>
          <m:t>2</m:t>
        </m:r>
        <m:r>
          <m:rPr>
            <m:sty m:val="p"/>
          </m:rPr>
          <m:t>,</m:t>
        </m:r>
        <m:r>
          <m:t>a</m:t>
        </m:r>
        <m:r>
          <m:t>n</m:t>
        </m:r>
        <m:r>
          <m:t>d</m:t>
        </m:r>
        <m:r>
          <m:t>h</m:t>
        </m:r>
        <m:r>
          <m:t>a</m:t>
        </m:r>
        <m:r>
          <m:t>d</m:t>
        </m:r>
        <m:r>
          <m:t> </m:t>
        </m:r>
      </m:oMath>
      <w:r>
        <w:t xml:space="preserve">522M remaining on authorization. Share count is drifting lower (~57M diluted), a modest EPS tailwind. No dividend — management prefers buybacks.</w:t>
      </w:r>
    </w:p>
    <w:p>
      <w:r>
        <w:pict>
          <v:rect style="width:0;height:1.5pt" o:hralign="center" o:hrstd="t" o:hr="t"/>
        </w:pict>
      </w:r>
    </w:p>
    <w:bookmarkEnd w:id="19"/>
    <w:bookmarkStart w:id="20" w:name="bottom-line--what-to-watch-monday"/>
    <w:p>
      <w:pPr>
        <w:pStyle w:val="Heading2"/>
      </w:pPr>
      <w:r>
        <w:t xml:space="preserve">Bottom line — what to watch Monday</w:t>
      </w:r>
    </w:p>
    <w:p>
      <w:pPr>
        <w:pStyle w:val="FirstParagraph"/>
      </w:pPr>
      <w:r>
        <w:t xml:space="preserve">FFIV enters the print firing on fundamentals (double-digit product growth, refresh + AI tailwinds, twice-raised FY guide) but with a</w:t>
      </w:r>
      <w:r>
        <w:t xml:space="preserve"> </w:t>
      </w:r>
      <w:r>
        <w:rPr>
          <w:b/>
          <w:bCs/>
        </w:rPr>
        <w:t xml:space="preserve">richly-valued, recently-stretched stock that just pulled back ~9%</w:t>
      </w:r>
      <w:r>
        <w:t xml:space="preserve"> </w:t>
      </w:r>
      <w:r>
        <w:t xml:space="preserve">— a classic "priced for a beat-and-raise" setup.</w:t>
      </w:r>
    </w:p>
    <w:p>
      <w:pPr>
        <w:pStyle w:val="BodyText"/>
      </w:pPr>
      <w:r>
        <w:rPr>
          <w:b/>
          <w:bCs/>
        </w:rPr>
        <w:t xml:space="preserve">Bull case for the reaction:</w:t>
      </w:r>
      <w:r>
        <w:t xml:space="preserve"> </w:t>
      </w:r>
      <w:r>
        <w:t xml:space="preserve">another meaningful beat + FY26 raise + constructive FY27 software/systems commentary + rising AI dollars.</w:t>
      </w:r>
    </w:p>
    <w:p>
      <w:pPr>
        <w:pStyle w:val="BodyText"/>
      </w:pPr>
      <w:r>
        <w:rPr>
          <w:b/>
          <w:bCs/>
        </w:rPr>
        <w:t xml:space="preserve">Bear/risk case:</w:t>
      </w:r>
      <w:r>
        <w:t xml:space="preserve"> </w:t>
      </w:r>
      <w:r>
        <w:t xml:space="preserve">in-line-only results, an explicit gross-margin step-down that spooks on memory costs, any sign the hardware refresh is cresting, or the absence of a raise after the market has come to expect one.</w:t>
      </w:r>
    </w:p>
    <w:p>
      <w:pPr>
        <w:pStyle w:val="BodyText"/>
      </w:pPr>
      <w:r>
        <w:t xml:space="preserve">Given the tight estimate range and the run into the quarter, expect an outsized move on the</w:t>
      </w:r>
      <w:r>
        <w:t xml:space="preserve"> </w:t>
      </w:r>
      <w:r>
        <w:rPr>
          <w:i/>
          <w:iCs/>
        </w:rPr>
        <w:t xml:space="preserve">guide and margin commentary</w:t>
      </w:r>
      <w:r>
        <w:t xml:space="preserve"> </w:t>
      </w:r>
      <w:r>
        <w:t xml:space="preserve">more than the headline Q3 numbers themselves.</w:t>
      </w:r>
    </w:p>
    <w:p>
      <w:pPr>
        <w:pStyle w:val="BodyText"/>
      </w:pPr>
      <w:r>
        <w:rPr>
          <w:i/>
          <w:iCs/>
        </w:rPr>
        <w:t xml:space="preserve">(Prices/figures from company filings, transcripts, and market data through July 24, 2026; consensus figures per cited sources.)</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2026-07-27T00:05:30Z</dcterms:created>
  <dcterms:modified xsi:type="dcterms:W3CDTF">2026-07-27T00:05:30Z</dcterms:modified>
</cp:coreProperties>
</file>

<file path=docProps/custom.xml><?xml version="1.0" encoding="utf-8"?>
<Properties xmlns="http://schemas.openxmlformats.org/officeDocument/2006/custom-properties" xmlns:vt="http://schemas.openxmlformats.org/officeDocument/2006/docPropsVTypes"/>
</file>