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enough to write a comprehensive preview. Let me pull together key stock price stats.# F5, Inc. (FFIV) — Q3 FY2026 Earnings Preview</w:t>
      </w:r>
      <w:r>
        <w:t xml:space="preserve"> </w:t>
      </w:r>
      <w:r>
        <w:rPr>
          <w:b/>
          <w:bCs/>
        </w:rPr>
        <w:t xml:space="preserve">Report Date:</w:t>
      </w:r>
      <w:r>
        <w:t xml:space="preserve"> </w:t>
      </w:r>
      <w:r>
        <w:t xml:space="preserve">July 27, 2026 (after market close) |</w:t>
      </w:r>
      <w:r>
        <w:t xml:space="preserve"> </w:t>
      </w:r>
      <w:r>
        <w:rPr>
          <w:b/>
          <w:bCs/>
        </w:rPr>
        <w:t xml:space="preserve">Call Time:</w:t>
      </w:r>
      <w:r>
        <w:t xml:space="preserve"> </w:t>
      </w:r>
      <w:r>
        <w:t xml:space="preserve">4:30 p.m. ET</w:t>
      </w:r>
    </w:p>
    <w:p>
      <w:r>
        <w:pict>
          <v:rect style="width:0;height:1.5pt" o:hralign="center" o:hrstd="t" o:hr="t"/>
        </w:pict>
      </w:r>
    </w:p>
    <w:bookmarkStart w:id="9" w:name="X4bee7763f8a93f6cf93aec04db34261acb0236b"/>
    <w:p>
      <w:pPr>
        <w:pStyle w:val="Heading2"/>
      </w:pPr>
      <w:r>
        <w:t xml:space="preserve">Setup: A Stock That Has Priced In a Lot of Good News</w:t>
      </w:r>
    </w:p>
    <w:p>
      <w:pPr>
        <w:pStyle w:val="FirstParagraph"/>
      </w:pPr>
      <w:r>
        <w:t xml:space="preserve">FFIV shares have been one of the strongest performers in networking/security software this year, rallying from roughly $257 at the start of January to nearly $392 heading into the print — a gain of</w:t>
      </w:r>
      <w:r>
        <w:t xml:space="preserve"> </w:t>
      </w:r>
      <w:r>
        <w:rPr>
          <w:b/>
          <w:bCs/>
        </w:rPr>
        <w:t xml:space="preserve">~53% year-to-date</w:t>
      </w:r>
      <w:r>
        <w:t xml:space="preserve">, including a ~29% jump just since the last earnings report on April 28/29. The stock touched an all-time high near</w:t>
      </w:r>
      <w:r>
        <w:t xml:space="preserve"> </w:t>
      </w:r>
      <m:oMath>
        <m:r>
          <m:t>432</m:t>
        </m:r>
        <m:r>
          <m:t>i</m:t>
        </m:r>
        <m:r>
          <m:t>n</m:t>
        </m:r>
        <m:r>
          <m:t>m</m:t>
        </m:r>
        <m:r>
          <m:t>i</m:t>
        </m:r>
        <m:r>
          <m:t>d</m:t>
        </m:r>
        <m:r>
          <m:rPr>
            <m:sty m:val="p"/>
          </m:rPr>
          <m:t>−</m:t>
        </m:r>
        <m:r>
          <m:t>J</m:t>
        </m:r>
        <m:r>
          <m:t>u</m:t>
        </m:r>
        <m:r>
          <m:t>l</m:t>
        </m:r>
        <m:r>
          <m:t>y</m:t>
        </m:r>
        <m:r>
          <m:t>b</m:t>
        </m:r>
        <m:r>
          <m:t>e</m:t>
        </m:r>
        <m:r>
          <m:t>f</m:t>
        </m:r>
        <m:r>
          <m:t>o</m:t>
        </m:r>
        <m:r>
          <m:t>r</m:t>
        </m:r>
        <m:r>
          <m:t>e</m:t>
        </m:r>
        <m:r>
          <m:t>p</m:t>
        </m:r>
        <m:r>
          <m:t>u</m:t>
        </m:r>
        <m:r>
          <m:t>l</m:t>
        </m:r>
        <m:r>
          <m:t>l</m:t>
        </m:r>
        <m:r>
          <m:t>i</m:t>
        </m:r>
        <m:r>
          <m:t>n</m:t>
        </m:r>
        <m:r>
          <m:t>g</m:t>
        </m:r>
        <m:r>
          <m:t>b</m:t>
        </m:r>
        <m:r>
          <m:t>a</m:t>
        </m:r>
        <m:r>
          <m:t>c</m:t>
        </m:r>
        <m:r>
          <m:t>k</m:t>
        </m:r>
        <m:r>
          <m:t>m</m:t>
        </m:r>
        <m:r>
          <m:t>o</m:t>
        </m:r>
        <m:r>
          <m:t>d</m:t>
        </m:r>
        <m:r>
          <m:t>e</m:t>
        </m:r>
        <m:r>
          <m:t>s</m:t>
        </m:r>
        <m:r>
          <m:t>t</m:t>
        </m:r>
        <m:r>
          <m:t>l</m:t>
        </m:r>
        <m:r>
          <m:t>y</m:t>
        </m:r>
        <m:r>
          <m:rPr>
            <m:sty m:val="p"/>
          </m:rPr>
          <m:t>.</m:t>
        </m:r>
        <m:r>
          <m:t>W</m:t>
        </m:r>
        <m:r>
          <m:t>i</m:t>
        </m:r>
        <m:r>
          <m:t>t</m:t>
        </m:r>
        <m:r>
          <m:t>h</m:t>
        </m:r>
        <m:r>
          <m:t>s</m:t>
        </m:r>
        <m:r>
          <m:t>e</m:t>
        </m:r>
        <m:r>
          <m:t>l</m:t>
        </m:r>
        <m:r>
          <m:t>l</m:t>
        </m:r>
        <m:r>
          <m:rPr>
            <m:sty m:val="p"/>
          </m:rPr>
          <m:t>−</m:t>
        </m:r>
        <m:r>
          <m:t>s</m:t>
        </m:r>
        <m:r>
          <m:t>i</m:t>
        </m:r>
        <m:r>
          <m:t>d</m:t>
        </m:r>
        <m:r>
          <m:t>e</m:t>
        </m:r>
        <m:r>
          <m:t>p</m:t>
        </m:r>
        <m:r>
          <m:t>r</m:t>
        </m:r>
        <m:r>
          <m:t>i</m:t>
        </m:r>
        <m:r>
          <m:t>c</m:t>
        </m:r>
        <m:r>
          <m:t>e</m:t>
        </m:r>
        <m:r>
          <m:t>t</m:t>
        </m:r>
        <m:r>
          <m:t>a</m:t>
        </m:r>
        <m:r>
          <m:t>r</m:t>
        </m:r>
        <m:r>
          <m:t>g</m:t>
        </m:r>
        <m:r>
          <m:t>e</m:t>
        </m:r>
        <m:r>
          <m:t>t</m:t>
        </m:r>
        <m:r>
          <m:t>s</m:t>
        </m:r>
        <m:r>
          <m:t>c</m:t>
        </m:r>
        <m:r>
          <m:t>l</m:t>
        </m:r>
        <m:r>
          <m:t>u</m:t>
        </m:r>
        <m:r>
          <m:t>s</m:t>
        </m:r>
        <m:r>
          <m:t>t</m:t>
        </m:r>
        <m:r>
          <m:t>e</m:t>
        </m:r>
        <m:r>
          <m:t>r</m:t>
        </m:r>
        <m:r>
          <m:t>i</m:t>
        </m:r>
        <m:r>
          <m:t>n</m:t>
        </m:r>
        <m:r>
          <m:t>g</m:t>
        </m:r>
        <m:r>
          <m:t>i</m:t>
        </m:r>
        <m:r>
          <m:t>n</m:t>
        </m:r>
        <m:r>
          <m:t>t</m:t>
        </m:r>
        <m:r>
          <m:t>h</m:t>
        </m:r>
        <m:r>
          <m:t>e</m:t>
        </m:r>
        <m:r>
          <m:rPr>
            <m:sty m:val="p"/>
          </m:rPr>
          <m:t>*</m:t>
        </m:r>
        <m:r>
          <m:rPr>
            <m:sty m:val="p"/>
          </m:rPr>
          <m:t>*</m:t>
        </m:r>
      </m:oMath>
      <w:r>
        <w:t xml:space="preserve">410–$418 range**, the market is now pricing in very little additional upside from consensus estimates alone — meaning tomorrow's print and (perhaps more importantly) the Q4/FY27 commentary need to clear a high bar.</w:t>
      </w:r>
    </w:p>
    <w:bookmarkEnd w:id="9"/>
    <w:bookmarkStart w:id="10" w:name="what-wall-street-expects-for-q3"/>
    <w:p>
      <w:pPr>
        <w:pStyle w:val="Heading2"/>
      </w:pPr>
      <w:r>
        <w:t xml:space="preserve">What Wall Street Expects for Q3</w:t>
      </w:r>
    </w:p>
    <w:p>
      <w:pPr>
        <w:pStyle w:val="Compact"/>
        <w:numPr>
          <w:ilvl w:val="0"/>
          <w:numId w:val="1001"/>
        </w:numPr>
      </w:pPr>
      <w:r>
        <w:rPr>
          <w:b/>
          <w:bCs/>
        </w:rPr>
        <w:t xml:space="preserve">Company guidance:</w:t>
      </w:r>
      <w:r>
        <w:t xml:space="preserve"> </w:t>
      </w:r>
      <w:r>
        <w:t xml:space="preserve">Revenue of</w:t>
      </w:r>
      <w:r>
        <w:t xml:space="preserve"> </w:t>
      </w:r>
      <m:oMath>
        <m:r>
          <m:t>820</m:t>
        </m:r>
        <m:r>
          <m:t>M</m:t>
        </m:r>
        <m:r>
          <m:rPr>
            <m:sty m:val="p"/>
          </m:rPr>
          <m:t>–</m:t>
        </m:r>
      </m:oMath>
      <w:r>
        <w:t xml:space="preserve">840M (~6.5% YoY growth at midpoint) and non-GAAP EPS of</w:t>
      </w:r>
      <w:r>
        <w:t xml:space="preserve"> </w:t>
      </w:r>
      <m:oMath>
        <m:r>
          <m:t>3.91</m:t>
        </m:r>
        <m:r>
          <m:rPr>
            <m:sty m:val="p"/>
          </m:rPr>
          <m:t>–</m:t>
        </m:r>
      </m:oMath>
      <w:r>
        <w:t xml:space="preserve">4.03.</w:t>
      </w:r>
    </w:p>
    <w:p>
      <w:pPr>
        <w:pStyle w:val="Compact"/>
        <w:numPr>
          <w:ilvl w:val="0"/>
          <w:numId w:val="1001"/>
        </w:numPr>
      </w:pPr>
      <w:r>
        <w:rPr>
          <w:b/>
          <w:bCs/>
        </w:rPr>
        <w:t xml:space="preserve">Consensus:</w:t>
      </w:r>
      <w:r>
        <w:t xml:space="preserve"> </w:t>
      </w:r>
      <w:r>
        <w:t xml:space="preserve">Revenue near</w:t>
      </w:r>
      <w:r>
        <w:t xml:space="preserve"> </w:t>
      </w:r>
      <m:oMath>
        <m:r>
          <m:t>832</m:t>
        </m:r>
        <m:r>
          <m:rPr>
            <m:sty m:val="p"/>
          </m:rPr>
          <m:t>–</m:t>
        </m:r>
        <m:r>
          <m:t>834</m:t>
        </m:r>
        <m:r>
          <m:t>M</m:t>
        </m:r>
        <m:r>
          <m:rPr>
            <m:sty m:val="p"/>
          </m:rPr>
          <m:t>*</m:t>
        </m:r>
        <m:r>
          <m:rPr>
            <m:sty m:val="p"/>
          </m:rPr>
          <m:t>*</m:t>
        </m:r>
        <m:r>
          <m:rPr>
            <m:sty m:val="p"/>
          </m:rPr>
          <m:t>(</m:t>
        </m:r>
        <m:r>
          <m:rPr>
            <m:sty m:val="p"/>
          </m:rPr>
          <m:t>+</m:t>
        </m:r>
        <m:r>
          <m:t>6.6</m:t>
        </m:r>
        <m:r>
          <m:rPr>
            <m:sty m:val="p"/>
          </m:rPr>
          <m:t>–</m:t>
        </m:r>
        <m:r>
          <m:t>6.8</m:t>
        </m:r>
      </m:oMath>
      <w:r>
        <w:rPr>
          <w:b/>
          <w:bCs/>
        </w:rPr>
        <w:t xml:space="preserve">3.98–$4.00</w:t>
      </w:r>
      <w:r>
        <w:t xml:space="preserve">, which would actually represent a</w:t>
      </w:r>
      <w:r>
        <w:t xml:space="preserve"> </w:t>
      </w:r>
      <w:r>
        <w:rPr>
          <w:b/>
          <w:bCs/>
        </w:rPr>
        <w:t xml:space="preserve">YoY EPS decline (~-4%)</w:t>
      </w:r>
      <w:r>
        <w:t xml:space="preserve"> </w:t>
      </w:r>
      <w:r>
        <w:t xml:space="preserve">versus $4.16 a year ago, driven by rising component costs compressing gross margin even as revenue grows.</w:t>
      </w:r>
    </w:p>
    <w:p>
      <w:pPr>
        <w:pStyle w:val="Compact"/>
        <w:numPr>
          <w:ilvl w:val="0"/>
          <w:numId w:val="1001"/>
        </w:numPr>
      </w:pPr>
      <w:r>
        <w:t xml:space="preserve">F5 has beaten EPS estimates in each of the last four quarters, with an average surprise around +16%, so there's a reasonable chance of another beat, though the "whisper" bar is elevated given the stock's run.</w:t>
      </w:r>
    </w:p>
    <w:bookmarkEnd w:id="10"/>
    <w:bookmarkStart w:id="11" w:name="X94b1755dfc8bfed10a336c8a0416db67d18d9a9"/>
    <w:p>
      <w:pPr>
        <w:pStyle w:val="Heading2"/>
      </w:pPr>
      <w:r>
        <w:t xml:space="preserve">Q2 Recap: The Quarter That Ignited the Rally</w:t>
      </w:r>
    </w:p>
    <w:p>
      <w:pPr>
        <w:pStyle w:val="FirstParagraph"/>
      </w:pPr>
      <w:r>
        <w:t xml:space="preserve">Momentum going into this print stems from a blowout Q2. Our team delivered another robust quarter with 11% revenue growth. Product revenue grew 22%, marking our seventh consecutive quarter of double-digit product growth. As a result of our strong growth and our proven operating model, we delivered 14% non-GAAP earnings growth and a record $348 million in free cash flow.</w:t>
      </w:r>
    </w:p>
    <w:p>
      <w:pPr>
        <w:pStyle w:val="BodyText"/>
      </w:pPr>
      <w:r>
        <w:t xml:space="preserve">That strength prompted a meaningful guidance raise: As a result, we are raising our fiscal year 2026 outlook to reflect revenue growth of 7% to 8%, up from 5% to 6% previously. For Q3 specifically, management guided to Q3 revenue in a range of $820 million to $840 million, reflecting approximately 6.5% growth at the midpoint and Q3 non-GAAP EPS in the range of $3.91 to $4.03 per share.</w:t>
      </w:r>
    </w:p>
    <w:bookmarkEnd w:id="11"/>
    <w:bookmarkStart w:id="12" w:name="Xbd89bd92524e497fe764a3773fcd8411749bb00"/>
    <w:p>
      <w:pPr>
        <w:pStyle w:val="Heading2"/>
      </w:pPr>
      <w:r>
        <w:t xml:space="preserve">The Bull Case: Three Secular Tailwinds Converging</w:t>
      </w:r>
    </w:p>
    <w:p>
      <w:pPr>
        <w:pStyle w:val="FirstParagraph"/>
      </w:pPr>
      <w:r>
        <w:t xml:space="preserve">At the May 28 Analyst Day, management laid out a multi-year growth framework built on three "mega trends" it believes are structurally accelerating demand, not just cyclical:</w:t>
      </w:r>
    </w:p>
    <w:p>
      <w:pPr>
        <w:numPr>
          <w:ilvl w:val="0"/>
          <w:numId w:val="1002"/>
        </w:numPr>
      </w:pPr>
      <w:r>
        <w:rPr>
          <w:b/>
          <w:bCs/>
        </w:rPr>
        <w:t xml:space="preserve">Hybrid multicloud as strategic architecture.</w:t>
      </w:r>
      <w:r>
        <w:t xml:space="preserve"> </w:t>
      </w:r>
      <w:r>
        <w:t xml:space="preserve">In our own research at F5, we found that 90% of enterprises now operate applications in hybrid multi-cloud environments... F5 customers operate their applications over 22 locations. Management explicitly tied this to a reacceleration in enterprise data center capacity investment: we expect data center capacity to grow at roughly 7% CAGR, and that's a meaningful step-up from where they have been in the last decade... as data center capacity grows, ADC demand accelerates with it.</w:t>
      </w:r>
    </w:p>
    <w:p>
      <w:pPr>
        <w:numPr>
          <w:ilvl w:val="0"/>
          <w:numId w:val="1002"/>
        </w:numPr>
      </w:pPr>
      <w:r>
        <w:rPr>
          <w:b/>
          <w:bCs/>
        </w:rPr>
        <w:t xml:space="preserve">Expanding threat landscape / AI-powered security.</w:t>
      </w:r>
      <w:r>
        <w:t xml:space="preserve"> </w:t>
      </w:r>
      <w:r>
        <w:t xml:space="preserve">The data on this slide clearly shows that the number of attack on IT asset continues to grow rapidly, growing more than 60% over the last 3 years from 180 million to 290 million attacks. F5's response — an AI-powered WAF and Agentic Bot Defense — has seen fast early adoption; on the Q2 call, management said we've already onboarded more than 200 enterprise customers in our first 70 days (referenced again at the analyst day).</w:t>
      </w:r>
    </w:p>
    <w:p>
      <w:pPr>
        <w:numPr>
          <w:ilvl w:val="0"/>
          <w:numId w:val="1002"/>
        </w:numPr>
      </w:pPr>
      <w:r>
        <w:rPr>
          <w:b/>
          <w:bCs/>
        </w:rPr>
        <w:t xml:space="preserve">AI inference inflection.</w:t>
      </w:r>
      <w:r>
        <w:t xml:space="preserve"> </w:t>
      </w:r>
      <w:r>
        <w:t xml:space="preserve">Management sized the long-term opportunity aggressively: we estimate that our TAM today is approximately $15 billion. We estimate that it will grow to $28 billion by 2030 if we exclude AI-related demand... if I include AI demand, our addressable market by 2030, we estimate to be $40 billion. On the Q2 call, F5 quantified early traction: if you look at the first half of the year, we had approximately $50 million in sales in the first half of the year on these use cases. That's up more than 200% year-on-year. And we're now approaching about 100 customers that are using F5 for their AI use cases.</w:t>
      </w:r>
    </w:p>
    <w:p>
      <w:pPr>
        <w:pStyle w:val="FirstParagraph"/>
      </w:pPr>
      <w:r>
        <w:t xml:space="preserve">Management also reiterated long-term financial targets at the analyst day: we are guiding to upper single-digit revenue CAGR through 2029... we also continue to drive durable earnings growth and are guiding to double-digit non-GAAP EPS CAGR through 2029.</w:t>
      </w:r>
    </w:p>
    <w:p>
      <w:pPr>
        <w:pStyle w:val="BodyText"/>
      </w:pPr>
      <w:r>
        <w:rPr>
          <w:b/>
          <w:bCs/>
        </w:rPr>
        <w:t xml:space="preserve">Refresh cycle context:</w:t>
      </w:r>
      <w:r>
        <w:t xml:space="preserve"> </w:t>
      </w:r>
      <w:r>
        <w:t xml:space="preserve">Systems (hardware) has been the standout, with management describing an unusually durable "Refresh Plus" cycle where customers are not just replacing legacy iSeries appliances but expanding capacity at the same time. On the Q2 call: we generated about $60 million in sales from customers who had previously kind of stopped buying hardware and recommitted to hardware. At the analyst day, management flagged that iSeries is still more than half of that opportunity has yet to be refreshed still... this opportunity to be very strong through FY '27.</w:t>
      </w:r>
    </w:p>
    <w:p>
      <w:pPr>
        <w:pStyle w:val="BodyText"/>
      </w:pPr>
      <w:r>
        <w:rPr>
          <w:b/>
          <w:bCs/>
        </w:rPr>
        <w:t xml:space="preserve">Strategic action:</w:t>
      </w:r>
      <w:r>
        <w:t xml:space="preserve"> </w:t>
      </w:r>
      <w:r>
        <w:t xml:space="preserve">Just weeks before this print, F5 launched its</w:t>
      </w:r>
      <w:r>
        <w:t xml:space="preserve"> </w:t>
      </w:r>
      <w:r>
        <w:rPr>
          <w:b/>
          <w:bCs/>
        </w:rPr>
        <w:t xml:space="preserve">AI Security Platform</w:t>
      </w:r>
      <w:r>
        <w:t xml:space="preserve"> </w:t>
      </w:r>
      <w:r>
        <w:t xml:space="preserve">and acquired</w:t>
      </w:r>
      <w:r>
        <w:t xml:space="preserve"> </w:t>
      </w:r>
      <w:r>
        <w:rPr>
          <w:b/>
          <w:bCs/>
        </w:rPr>
        <w:t xml:space="preserve">SurePath AI</w:t>
      </w:r>
      <w:r>
        <w:t xml:space="preserve">, a network-based AI discovery/shadow-AI detection startup, underscoring management's intent to extend its security stack deeper into enterprise AI governance — a theme likely to feature prominently on tomorrow's call.</w:t>
      </w:r>
    </w:p>
    <w:bookmarkEnd w:id="12"/>
    <w:bookmarkStart w:id="13" w:name="key-watch-items--risks-for-the-print"/>
    <w:p>
      <w:pPr>
        <w:pStyle w:val="Heading2"/>
      </w:pPr>
      <w:r>
        <w:t xml:space="preserve">Key Watch Items / Risks for the Print</w:t>
      </w:r>
    </w:p>
    <w:p>
      <w:pPr>
        <w:numPr>
          <w:ilvl w:val="0"/>
          <w:numId w:val="1003"/>
        </w:numPr>
      </w:pPr>
      <w:r>
        <w:rPr>
          <w:b/>
          <w:bCs/>
        </w:rPr>
        <w:t xml:space="preserve">Gross margin trajectory — the biggest swing factor.</w:t>
      </w:r>
      <w:r>
        <w:t xml:space="preserve"> </w:t>
      </w:r>
      <w:r>
        <w:t xml:space="preserve">Management has been explicit that memory/component cost inflation will bite starting in Q3 and hit "full run rate" in Q4: we're now starting to see some of the later purchases that we have been doing at higher price points... it will start to flow in, in Q3, but it will be kind of more at full run rate in Q4. They also flagged for at least through the better part of FY '27, we would expect memory prices to stay elevated, and at the analyst day warned of a short-term reduction to gross margins in FY '27, followed by an improving outlook back to historical levels by FY '29. Given the ongoing memory/HBM shortage dynamics playing out broadly across tech (Micron volatility, the CXMT IPO, hyperscaler capex all competing for DRAM supply), investors should watch closely whether F5 needs to widen its margin caution.</w:t>
      </w:r>
    </w:p>
    <w:p>
      <w:pPr>
        <w:numPr>
          <w:ilvl w:val="0"/>
          <w:numId w:val="1003"/>
        </w:numPr>
      </w:pPr>
      <w:r>
        <w:rPr>
          <w:b/>
          <w:bCs/>
        </w:rPr>
        <w:t xml:space="preserve">Software growth reacceleration.</w:t>
      </w:r>
      <w:r>
        <w:t xml:space="preserve"> </w:t>
      </w:r>
      <w:r>
        <w:t xml:space="preserve">Software grew a "soft" mid-single-digit rate this year against a tough compare, but management has guided to a reacceleration: we do expect to see an inflection in the growth rate... we have a larger base coming up for renewal next year... we feel pretty confident about a higher growth rate into FY '27. Q3 commentary on subscription renewal trends will be an important read-through to FY27.</w:t>
      </w:r>
    </w:p>
    <w:p>
      <w:pPr>
        <w:numPr>
          <w:ilvl w:val="0"/>
          <w:numId w:val="1003"/>
        </w:numPr>
      </w:pPr>
      <w:r>
        <w:rPr>
          <w:b/>
          <w:bCs/>
        </w:rPr>
        <w:t xml:space="preserve">Services growth (currently muted at ~2% YoY)</w:t>
      </w:r>
      <w:r>
        <w:t xml:space="preserve"> </w:t>
      </w:r>
      <w:r>
        <w:t xml:space="preserve">— a function of the refresh cycle temporarily displacing legacy maintenance contracts; management expects this to inflect to mid-single digits over time as the larger installed base seasons.</w:t>
      </w:r>
    </w:p>
    <w:p>
      <w:pPr>
        <w:numPr>
          <w:ilvl w:val="0"/>
          <w:numId w:val="1003"/>
        </w:numPr>
      </w:pPr>
      <w:r>
        <w:rPr>
          <w:b/>
          <w:bCs/>
        </w:rPr>
        <w:t xml:space="preserve">Valuation/expectations risk.</w:t>
      </w:r>
      <w:r>
        <w:t xml:space="preserve"> </w:t>
      </w:r>
      <w:r>
        <w:t xml:space="preserve">With shares up over 50% YTD and average price targets offering minimal implied upside, a "good but not great" quarter or a cautious Q4/FY27 tone (especially around gross margin) could trigger outsized downside given how much optimism is embedded in the stock. Note the stock has already pulled back from its mid-July highs (~</w:t>
      </w:r>
      <m:oMath>
        <m:r>
          <m:t>432</m:t>
        </m:r>
        <m:r>
          <m:t>t</m:t>
        </m:r>
        <m:r>
          <m:t>o</m:t>
        </m:r>
        <m:r>
          <m:t> </m:t>
        </m:r>
      </m:oMath>
      <w:r>
        <w:t xml:space="preserve">392), suggesting some pre-earnings de-risking.</w:t>
      </w:r>
    </w:p>
    <w:p>
      <w:pPr>
        <w:numPr>
          <w:ilvl w:val="0"/>
          <w:numId w:val="1003"/>
        </w:numPr>
      </w:pPr>
      <w:r>
        <w:rPr>
          <w:b/>
          <w:bCs/>
        </w:rPr>
        <w:t xml:space="preserve">Guidance cadence:</w:t>
      </w:r>
      <w:r>
        <w:t xml:space="preserve"> </w:t>
      </w:r>
      <w:r>
        <w:t xml:space="preserve">Watch for Q4 guidance and any early framing of FY27, particularly the margin trough management has been telegraphing, and updates on the AI monetization data points ($50M/~100 customers as of Q2) and NVIDIA DPU/tokenomics partnership progress (management cited third-party validated gains of</w:t>
      </w:r>
      <w:r>
        <w:t xml:space="preserve"> </w:t>
      </w:r>
      <w:r>
        <w:rPr>
          <w:b/>
          <w:bCs/>
        </w:rPr>
        <w:t xml:space="preserve">30-40% higher token throughput</w:t>
      </w:r>
      <w:r>
        <w:t xml:space="preserve"> </w:t>
      </w:r>
      <w:r>
        <w:t xml:space="preserve">on NVIDIA BlueField integration).</w:t>
      </w:r>
    </w:p>
    <w:bookmarkEnd w:id="13"/>
    <w:bookmarkStart w:id="14" w:name="bottom-line"/>
    <w:p>
      <w:pPr>
        <w:pStyle w:val="Heading2"/>
      </w:pPr>
      <w:r>
        <w:t xml:space="preserve">Bottom Line</w:t>
      </w:r>
    </w:p>
    <w:p>
      <w:pPr>
        <w:pStyle w:val="FirstParagraph"/>
      </w:pPr>
      <w:r>
        <w:t xml:space="preserve">F5 heads into Q3 with genuine business momentum — accelerating product revenue, a durable hardware refresh cycle, credible AI and security tailwinds, and a management team that raised full-year guidance last quarter and laid out an ambitious multi-year framework (upper-single-digit revenue CAGR, double-digit EPS CAGR through FY29) at its May Analyst Day. The operational story is intact. The key tension for tomorrow's print is less about beating the top line — consensus revenue sits comfortably within guidance — and more about (1) how much the flagged memory/component cost inflation dents gross margin in Q3 and especially Q4/FY27, and (2) whether management's forward commentary can justify a stock that has already re-rated sharply and now trades close to average analyst price targets.</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2026-07-27T00:04:41Z</dcterms:created>
  <dcterms:modified xsi:type="dcterms:W3CDTF">2026-07-27T00:04:41Z</dcterms:modified>
</cp:coreProperties>
</file>

<file path=docProps/custom.xml><?xml version="1.0" encoding="utf-8"?>
<Properties xmlns="http://schemas.openxmlformats.org/officeDocument/2006/custom-properties" xmlns:vt="http://schemas.openxmlformats.org/officeDocument/2006/docPropsVTypes"/>
</file>