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fiv-earnings-predictions--2026-07-27"/>
    <w:p>
      <w:pPr>
        <w:pStyle w:val="Heading1"/>
      </w:pPr>
      <w:r>
        <w:t xml:space="preserve">FFIV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FY26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~$846M vs. cons $832.1M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FY26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~$4.11 vs. cons $3.98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FY26 product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~$440M vs. cons $429.8M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~$860M vs. cons $864M (Q4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non-GAAP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~$4.08 vs. cons $4.16 (Q4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~$3.34B vs. cons $3.33B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~$16.54 vs. cons $16.49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FFIV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-8.5% (FOLLOW-THROUGH)</w:t>
            </w:r>
          </w:p>
        </w:tc>
        <w:tc>
          <w:tcPr/>
          <w:p>
            <w:pPr>
              <w:pStyle w:val="Compact"/>
            </w:pPr>
            <w:r>
              <w:t xml:space="preserve">Q3 beats are outweighed by Q4 EPS guide ~$4.08 vs. cons $4.16 as memory-cost pressure lowers out-period margin and estimate revisions despite a modest FY26 raise.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2026-07-27T00:06:25Z</dcterms:created>
  <dcterms:modified xsi:type="dcterms:W3CDTF">2026-07-27T00:06:25Z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