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fiv-earnings-predictions--2026-07-27"/>
    <w:p>
      <w:pPr>
        <w:pStyle w:val="Heading1"/>
      </w:pPr>
      <w:r>
        <w:t xml:space="preserve">FFIV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~$844M vs. cons $832M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~$4.20 vs. cons $4.12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Systems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~$244M vs. cons $238M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~8.5% vs. cons 7.8%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~$16.72 vs. cons $16.62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non-GAAP gross margin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~81.8% vs. cons 82.4% (4Q26)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systems-growth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~6.0% vs. cons 4.0% (FY27)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+5.0% (FOLLOW-THROUGH)</w:t>
            </w:r>
          </w:p>
        </w:tc>
        <w:tc>
          <w:tcPr/>
          <w:p>
            <w:pPr>
              <w:pStyle w:val="Compact"/>
            </w:pPr>
            <w:r>
              <w:t xml:space="preserve">A ~$844M revenue result versus $832M consensus and FY26 growth guide of ~8.5% versus 7.8% should drive upward FY26/FY27 revenue and EPS revisions, outweighing a ~81.8% Q4 gross-margin outlook versus 82.4% consensus.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2026-07-27T00:05:41Z</dcterms:created>
  <dcterms:modified xsi:type="dcterms:W3CDTF">2026-07-27T00:05:41Z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