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ffiv-earnings-preview--fiscal-3q26"/>
    <w:p>
      <w:pPr>
        <w:pStyle w:val="Heading1"/>
      </w:pPr>
      <w:r>
        <w:t xml:space="preserve">FFIV Earnings Preview — Fiscal 3Q26</w:t>
      </w:r>
    </w:p>
    <w:p>
      <w:pPr>
        <w:pStyle w:val="FirstParagraph"/>
      </w:pPr>
      <w:r>
        <w:rPr>
          <w:b/>
          <w:bCs/>
        </w:rPr>
        <w:t xml:space="preserve">Report date:</w:t>
      </w:r>
      <w:r>
        <w:t xml:space="preserve"> </w:t>
      </w:r>
      <w:r>
        <w:t xml:space="preserve">Monday, July 27, 2026</w:t>
      </w:r>
      <w:r>
        <w:br/>
      </w:r>
      <w:r>
        <w:rPr>
          <w:b/>
          <w:bCs/>
        </w:rPr>
        <w:t xml:space="preserve">What matters most:</w:t>
      </w:r>
      <w:r>
        <w:t xml:space="preserve"> </w:t>
      </w:r>
      <w:r>
        <w:t xml:space="preserve">Whether F5 can validate that its current hardware-led refresh cycle is evolving into a more durable, multi-year growth story driven by hybrid multicloud, security, and AI-related traffic.</w:t>
      </w:r>
    </w:p>
    <w:bookmarkStart w:id="9" w:name="Xd60930f6c0520411c65801a1dae5d52766a80b6"/>
    <w:p>
      <w:pPr>
        <w:pStyle w:val="Heading2"/>
      </w:pPr>
      <w:r>
        <w:t xml:space="preserve">Setup: strong fundamentals, elevated expectations</w:t>
      </w:r>
    </w:p>
    <w:p>
      <w:pPr>
        <w:pStyle w:val="FirstParagraph"/>
      </w:pPr>
      <w:r>
        <w:t xml:space="preserve">F5 enters fiscal 3Q26 after a very strong 2Q: revenue rose</w:t>
      </w:r>
      <w:r>
        <w:t xml:space="preserve"> </w:t>
      </w:r>
      <w:r>
        <w:rPr>
          <w:b/>
          <w:bCs/>
        </w:rPr>
        <w:t xml:space="preserve">11% y/y to $812 million</w:t>
      </w:r>
      <w:r>
        <w:t xml:space="preserve">, product revenue grew</w:t>
      </w:r>
      <w:r>
        <w:t xml:space="preserve"> </w:t>
      </w:r>
      <w:r>
        <w:rPr>
          <w:b/>
          <w:bCs/>
        </w:rPr>
        <w:t xml:space="preserve">22%</w:t>
      </w:r>
      <w:r>
        <w:t xml:space="preserve">, systems grew</w:t>
      </w:r>
      <w:r>
        <w:t xml:space="preserve"> </w:t>
      </w:r>
      <w:r>
        <w:rPr>
          <w:b/>
          <w:bCs/>
        </w:rPr>
        <w:t xml:space="preserve">26%</w:t>
      </w:r>
      <w:r>
        <w:t xml:space="preserve">, software grew</w:t>
      </w:r>
      <w:r>
        <w:t xml:space="preserve"> </w:t>
      </w:r>
      <w:r>
        <w:rPr>
          <w:b/>
          <w:bCs/>
        </w:rPr>
        <w:t xml:space="preserve">17%</w:t>
      </w:r>
      <w:r>
        <w:t xml:space="preserve">, and non-GAAP EPS increased</w:t>
      </w:r>
      <w:r>
        <w:t xml:space="preserve"> </w:t>
      </w:r>
      <w:r>
        <w:rPr>
          <w:b/>
          <w:bCs/>
        </w:rPr>
        <w:t xml:space="preserve">14% to</w:t>
      </w:r>
      <w:r>
        <w:rPr>
          <w:b/>
          <w:bCs/>
        </w:rPr>
        <w:t xml:space="preserve"> </w:t>
      </w:r>
      <m:oMath>
        <m:r>
          <m:t>3.90</m:t>
        </m:r>
        <m:r>
          <m:rPr>
            <m:sty m:val="p"/>
          </m:rPr>
          <m:t>*</m:t>
        </m:r>
        <m:r>
          <m:rPr>
            <m:sty m:val="p"/>
          </m:rPr>
          <m:t>*</m:t>
        </m:r>
        <m:r>
          <m:rPr>
            <m:sty m:val="p"/>
          </m:rPr>
          <m:t>.</m:t>
        </m:r>
        <m:r>
          <m:t>M</m:t>
        </m:r>
        <m:r>
          <m:t>a</m:t>
        </m:r>
        <m:r>
          <m:t>n</m:t>
        </m:r>
        <m:r>
          <m:t>a</m:t>
        </m:r>
        <m:r>
          <m:t>g</m:t>
        </m:r>
        <m:r>
          <m:t>e</m:t>
        </m:r>
        <m:r>
          <m:t>m</m:t>
        </m:r>
        <m:r>
          <m:t>e</m:t>
        </m:r>
        <m:r>
          <m:t>n</m:t>
        </m:r>
        <m:r>
          <m:t>t</m:t>
        </m:r>
        <m:r>
          <m:t>r</m:t>
        </m:r>
        <m:r>
          <m:t>a</m:t>
        </m:r>
        <m:r>
          <m:t>i</m:t>
        </m:r>
        <m:r>
          <m:t>s</m:t>
        </m:r>
        <m:r>
          <m:t>e</m:t>
        </m:r>
        <m:r>
          <m:t>d</m:t>
        </m:r>
        <m:r>
          <m:t>i</m:t>
        </m:r>
        <m:r>
          <m:t>t</m:t>
        </m:r>
        <m:r>
          <m:t>s</m:t>
        </m:r>
        <m:r>
          <m:t>F</m:t>
        </m:r>
        <m:r>
          <m:t>Y</m:t>
        </m:r>
        <m:r>
          <m:t>26</m:t>
        </m:r>
        <m:r>
          <m:t>r</m:t>
        </m:r>
        <m:r>
          <m:t>e</m:t>
        </m:r>
        <m:r>
          <m:t>v</m:t>
        </m:r>
        <m:r>
          <m:t>e</m:t>
        </m:r>
        <m:r>
          <m:t>n</m:t>
        </m:r>
        <m:r>
          <m:t>u</m:t>
        </m:r>
        <m:r>
          <m:t>e</m:t>
        </m:r>
        <m:r>
          <m:rPr>
            <m:sty m:val="p"/>
          </m:rPr>
          <m:t>−</m:t>
        </m:r>
        <m:r>
          <m:t>g</m:t>
        </m:r>
        <m:r>
          <m:t>r</m:t>
        </m:r>
        <m:r>
          <m:t>o</m:t>
        </m:r>
        <m:r>
          <m:t>w</m:t>
        </m:r>
        <m:r>
          <m:t>t</m:t>
        </m:r>
        <m:r>
          <m:t>h</m:t>
        </m:r>
        <m:r>
          <m:t>o</m:t>
        </m:r>
        <m:r>
          <m:t>u</m:t>
        </m:r>
        <m:r>
          <m:t>t</m:t>
        </m:r>
        <m:r>
          <m:t>l</m:t>
        </m:r>
        <m:r>
          <m:t>o</m:t>
        </m:r>
        <m:r>
          <m:t>o</m:t>
        </m:r>
        <m:r>
          <m:t>k</m:t>
        </m:r>
        <m:r>
          <m:t>t</m:t>
        </m:r>
        <m:r>
          <m:t>o</m:t>
        </m:r>
        <m:r>
          <m:rPr>
            <m:sty m:val="p"/>
          </m:rPr>
          <m:t>*</m:t>
        </m:r>
        <m:r>
          <m:rPr>
            <m:sty m:val="p"/>
          </m:rPr>
          <m:t>*</m:t>
        </m:r>
        <m:r>
          <m:t>7</m:t>
        </m:r>
      </m:oMath>
      <w:r>
        <w:rPr>
          <w:b/>
          <w:bCs/>
        </w:rPr>
        <w:t xml:space="preserve">16.25–$16.55</w:t>
      </w:r>
      <w:r>
        <w:t xml:space="preserve">.</w:t>
      </w:r>
    </w:p>
    <w:p>
      <w:pPr>
        <w:pStyle w:val="BodyText"/>
      </w:pPr>
      <w:r>
        <w:t xml:space="preserve">The stock has reflected that improvement. FFIV closed at</w:t>
      </w:r>
      <w:r>
        <w:t xml:space="preserve"> </w:t>
      </w:r>
      <w:r>
        <w:rPr>
          <w:b/>
          <w:bCs/>
        </w:rPr>
        <w:t xml:space="preserve">$392.25 on July 24</w:t>
      </w:r>
      <w:r>
        <w:t xml:space="preserve">, up roughly</w:t>
      </w:r>
      <w:r>
        <w:t xml:space="preserve"> </w:t>
      </w:r>
      <w:r>
        <w:rPr>
          <w:b/>
          <w:bCs/>
        </w:rPr>
        <w:t xml:space="preserve">32%</w:t>
      </w:r>
      <w:r>
        <w:t xml:space="preserve"> </w:t>
      </w:r>
      <w:r>
        <w:t xml:space="preserve">from the day before its April earnings report, though it has pulled back about</w:t>
      </w:r>
      <w:r>
        <w:t xml:space="preserve"> </w:t>
      </w:r>
      <w:r>
        <w:rPr>
          <w:b/>
          <w:bCs/>
        </w:rPr>
        <w:t xml:space="preserve">9%</w:t>
      </w:r>
      <w:r>
        <w:t xml:space="preserve"> </w:t>
      </w:r>
      <w:r>
        <w:t xml:space="preserve">from its July 14 close of $431.26. That creates a setup where solid results may not be enough: investors likely need evidence that demand, mix, and FY27 momentum remain intact.</w:t>
      </w:r>
    </w:p>
    <w:bookmarkEnd w:id="9"/>
    <w:bookmarkStart w:id="10" w:name="company-guideposts-for-3q26"/>
    <w:p>
      <w:pPr>
        <w:pStyle w:val="Heading2"/>
      </w:pPr>
      <w:r>
        <w:t xml:space="preserve">Company guideposts for 3Q26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F5 3Q26 guidance</w:t>
            </w:r>
          </w:p>
        </w:tc>
        <w:tc>
          <w:tcPr/>
          <w:p>
            <w:pPr>
              <w:pStyle w:val="Compact"/>
              <w:jc w:val="right"/>
            </w:pPr>
            <w:r>
              <w:t xml:space="preserve">3Q25 actual</w:t>
            </w:r>
          </w:p>
        </w:tc>
        <w:tc>
          <w:tcPr/>
          <w:p>
            <w:pPr>
              <w:pStyle w:val="Compact"/>
              <w:jc w:val="right"/>
            </w:pPr>
            <w:r>
              <w:t xml:space="preserve">Implied y/y change at midpoint</w:t>
            </w:r>
          </w:p>
        </w:tc>
      </w:tr>
      <w:tr>
        <w:tc>
          <w:tcPr/>
          <w:p>
            <w:pPr>
              <w:pStyle w:val="Compact"/>
            </w:pPr>
            <w:r>
              <w:t xml:space="preserve">Revenue</w:t>
            </w:r>
          </w:p>
        </w:tc>
        <w:tc>
          <w:tcPr/>
          <w:p>
            <w:pPr>
              <w:pStyle w:val="Compact"/>
              <w:jc w:val="right"/>
            </w:pPr>
            <m:oMath>
              <m:r>
                <m:t>820</m:t>
              </m:r>
              <m:r>
                <m:t>M</m:t>
              </m:r>
              <m:r>
                <m:rPr>
                  <m:sty m:val="p"/>
                </m:rPr>
                <m:t>–</m:t>
              </m:r>
            </m:oMath>
            <w:r>
              <w:rPr>
                <w:b/>
                <w:bCs/>
              </w:rPr>
              <w:t xml:space="preserve">840M</w:t>
            </w:r>
          </w:p>
        </w:tc>
        <w:tc>
          <w:tcPr/>
          <w:p>
            <w:pPr>
              <w:pStyle w:val="Compact"/>
              <w:jc w:val="right"/>
            </w:pPr>
            <w:r>
              <w:t xml:space="preserve">$780M</w:t>
            </w:r>
          </w:p>
        </w:tc>
        <w:tc>
          <w:tcPr/>
          <w:p>
            <w:pPr>
              <w:pStyle w:val="Compact"/>
              <w:jc w:val="right"/>
            </w:pPr>
            <w:r>
              <w:rPr>
                <w:b/>
                <w:bCs/>
              </w:rPr>
              <w:t xml:space="preserve">~6.4%</w:t>
            </w:r>
          </w:p>
        </w:tc>
      </w:tr>
      <w:tr>
        <w:tc>
          <w:tcPr/>
          <w:p>
            <w:pPr>
              <w:pStyle w:val="Compact"/>
            </w:pPr>
            <w:r>
              <w:t xml:space="preserve">Non-GAAP gross margin</w:t>
            </w:r>
          </w:p>
        </w:tc>
        <w:tc>
          <w:tcPr/>
          <w:p>
            <w:pPr>
              <w:pStyle w:val="Compact"/>
              <w:jc w:val="right"/>
            </w:pPr>
            <w:r>
              <w:rPr>
                <w:b/>
                <w:bCs/>
              </w:rPr>
              <w:t xml:space="preserve">82.5%–83.5%</w:t>
            </w:r>
          </w:p>
        </w:tc>
        <w:tc>
          <w:tcPr/>
          <w:p>
            <w:pPr>
              <w:pStyle w:val="Compact"/>
              <w:jc w:val="right"/>
            </w:pPr>
            <w:r>
              <w:t xml:space="preserve">83.1%</w:t>
            </w:r>
          </w:p>
        </w:tc>
        <w:tc>
          <w:tcPr/>
          <w:p>
            <w:pPr>
              <w:pStyle w:val="Compact"/>
              <w:jc w:val="right"/>
            </w:pPr>
            <w:r>
              <w:t xml:space="preserve">Roughly stable/slightly lower</w:t>
            </w:r>
          </w:p>
        </w:tc>
      </w:tr>
      <w:tr>
        <w:tc>
          <w:tcPr/>
          <w:p>
            <w:pPr>
              <w:pStyle w:val="Compact"/>
            </w:pPr>
            <w:r>
              <w:t xml:space="preserve">Non-GAAP opex</w:t>
            </w:r>
          </w:p>
        </w:tc>
        <w:tc>
          <w:tcPr/>
          <w:p>
            <w:pPr>
              <w:pStyle w:val="Compact"/>
              <w:jc w:val="right"/>
            </w:pPr>
            <m:oMath>
              <m:r>
                <m:t>406</m:t>
              </m:r>
              <m:r>
                <m:t>M</m:t>
              </m:r>
              <m:r>
                <m:rPr>
                  <m:sty m:val="p"/>
                </m:rPr>
                <m:t>–</m:t>
              </m:r>
            </m:oMath>
            <w:r>
              <w:rPr>
                <w:b/>
                <w:bCs/>
              </w:rPr>
              <w:t xml:space="preserve">418M</w:t>
            </w:r>
          </w:p>
        </w:tc>
        <w:tc>
          <w:tcPr/>
          <w:p>
            <w:pPr>
              <w:pStyle w:val="Compact"/>
              <w:jc w:val="right"/>
            </w:pPr>
            <w:r>
              <w:t xml:space="preserve">—</w:t>
            </w:r>
          </w:p>
        </w:tc>
        <w:tc>
          <w:tcPr/>
          <w:p>
            <w:pPr>
              <w:pStyle w:val="Compact"/>
              <w:jc w:val="right"/>
            </w:pPr>
            <w:r>
              <w:t xml:space="preserve">—</w:t>
            </w:r>
          </w:p>
        </w:tc>
      </w:tr>
      <w:tr>
        <w:tc>
          <w:tcPr/>
          <w:p>
            <w:pPr>
              <w:pStyle w:val="Compact"/>
            </w:pPr>
            <w:r>
              <w:t xml:space="preserve">Non-GAAP EPS</w:t>
            </w:r>
          </w:p>
        </w:tc>
        <w:tc>
          <w:tcPr/>
          <w:p>
            <w:pPr>
              <w:pStyle w:val="Compact"/>
              <w:jc w:val="right"/>
            </w:pPr>
            <m:oMath>
              <m:r>
                <m:t>3.91</m:t>
              </m:r>
              <m:r>
                <m:rPr>
                  <m:sty m:val="p"/>
                </m:rPr>
                <m:t>–</m:t>
              </m:r>
            </m:oMath>
            <w:r>
              <w:rPr>
                <w:b/>
                <w:bCs/>
              </w:rPr>
              <w:t xml:space="preserve">4.03</w:t>
            </w:r>
          </w:p>
        </w:tc>
        <w:tc>
          <w:tcPr/>
          <w:p>
            <w:pPr>
              <w:pStyle w:val="Compact"/>
              <w:jc w:val="right"/>
            </w:pPr>
            <w:r>
              <w:t xml:space="preserve">$4.16</w:t>
            </w:r>
          </w:p>
        </w:tc>
        <w:tc>
          <w:tcPr/>
          <w:p>
            <w:pPr>
              <w:pStyle w:val="Compact"/>
              <w:jc w:val="right"/>
            </w:pPr>
            <w:r>
              <w:rPr>
                <w:b/>
                <w:bCs/>
              </w:rPr>
              <w:t xml:space="preserve">~(4.6%)</w:t>
            </w:r>
          </w:p>
        </w:tc>
      </w:tr>
    </w:tbl>
    <w:p>
      <w:pPr>
        <w:pStyle w:val="BodyText"/>
      </w:pPr>
      <w:r>
        <w:t xml:space="preserve">The key nuance is that F5’s revenue guide calls for continued growth against a relatively strong prior-year comparison, but its EPS guide is below last year’s $4.16. That puts a premium on gross-margin execution, expense discipline, and the magnitude of any FY26 outlook increase.</w:t>
      </w:r>
    </w:p>
    <w:bookmarkEnd w:id="10"/>
    <w:bookmarkStart w:id="11" w:name="Xe9f33a67f05ea1ddf2770197aa4e7465747b885"/>
    <w:p>
      <w:pPr>
        <w:pStyle w:val="Heading2"/>
      </w:pPr>
      <w:r>
        <w:t xml:space="preserve">The core debate: refresh cycle or durable reacceleration?</w:t>
      </w:r>
    </w:p>
    <w:p>
      <w:pPr>
        <w:pStyle w:val="FirstParagraph"/>
      </w:pPr>
      <w:r>
        <w:t xml:space="preserve">The bullish case is increasingly broader than a standard appliance refresh:</w:t>
      </w:r>
    </w:p>
    <w:p>
      <w:pPr>
        <w:numPr>
          <w:ilvl w:val="0"/>
          <w:numId w:val="1001"/>
        </w:numPr>
      </w:pPr>
      <w:r>
        <w:rPr>
          <w:b/>
          <w:bCs/>
        </w:rPr>
        <w:t xml:space="preserve">Refresh-plus systems demand.</w:t>
      </w:r>
      <w:r>
        <w:t xml:space="preserve"> </w:t>
      </w:r>
      <w:r>
        <w:t xml:space="preserve">Customers are replacing older iSeries systems, but are also buying higher-performance configurations and adding capacity for traffic growth, resiliency, and new workloads. Management expects the refresh cycle to remain strong into FY27.</w:t>
      </w:r>
    </w:p>
    <w:p>
      <w:pPr>
        <w:numPr>
          <w:ilvl w:val="0"/>
          <w:numId w:val="1001"/>
        </w:numPr>
      </w:pPr>
      <w:r>
        <w:rPr>
          <w:b/>
          <w:bCs/>
        </w:rPr>
        <w:t xml:space="preserve">Hybrid multicloud and digital sovereignty.</w:t>
      </w:r>
      <w:r>
        <w:t xml:space="preserve"> </w:t>
      </w:r>
      <w:r>
        <w:t xml:space="preserve">F5 is benefiting from enterprises rebuilding or expanding on-prem/private infrastructure alongside public-cloud deployments. Europe has been especially strong, with 2Q EMEA revenue up</w:t>
      </w:r>
      <w:r>
        <w:t xml:space="preserve"> </w:t>
      </w:r>
      <w:r>
        <w:rPr>
          <w:b/>
          <w:bCs/>
        </w:rPr>
        <w:t xml:space="preserve">22% y/y</w:t>
      </w:r>
      <w:r>
        <w:t xml:space="preserve">, aided by sovereignty, resilience, and regulated-industry spending.</w:t>
      </w:r>
    </w:p>
    <w:p>
      <w:pPr>
        <w:numPr>
          <w:ilvl w:val="0"/>
          <w:numId w:val="1001"/>
        </w:numPr>
      </w:pPr>
      <w:r>
        <w:rPr>
          <w:b/>
          <w:bCs/>
        </w:rPr>
        <w:t xml:space="preserve">Security expansion.</w:t>
      </w:r>
      <w:r>
        <w:t xml:space="preserve"> </w:t>
      </w:r>
      <w:r>
        <w:t xml:space="preserve">F5’s application/API security portfolio is becoming a more meaningful growth lever. In 2Q, management cited y/y growth in Distributed Cloud customer adoption of</w:t>
      </w:r>
      <w:r>
        <w:t xml:space="preserve"> </w:t>
      </w:r>
      <w:r>
        <w:rPr>
          <w:b/>
          <w:bCs/>
        </w:rPr>
        <w:t xml:space="preserve">62% for WAF</w:t>
      </w:r>
      <w:r>
        <w:t xml:space="preserve">,</w:t>
      </w:r>
      <w:r>
        <w:t xml:space="preserve"> </w:t>
      </w:r>
      <w:r>
        <w:rPr>
          <w:b/>
          <w:bCs/>
        </w:rPr>
        <w:t xml:space="preserve">54% for API security</w:t>
      </w:r>
      <w:r>
        <w:t xml:space="preserve">, and</w:t>
      </w:r>
      <w:r>
        <w:t xml:space="preserve"> </w:t>
      </w:r>
      <w:r>
        <w:rPr>
          <w:b/>
          <w:bCs/>
        </w:rPr>
        <w:t xml:space="preserve">33% for bot defense</w:t>
      </w:r>
      <w:r>
        <w:t xml:space="preserve">.</w:t>
      </w:r>
    </w:p>
    <w:p>
      <w:pPr>
        <w:numPr>
          <w:ilvl w:val="0"/>
          <w:numId w:val="1001"/>
        </w:numPr>
      </w:pPr>
      <w:r>
        <w:rPr>
          <w:b/>
          <w:bCs/>
        </w:rPr>
        <w:t xml:space="preserve">Early AI contribution.</w:t>
      </w:r>
      <w:r>
        <w:t xml:space="preserve"> </w:t>
      </w:r>
      <w:r>
        <w:t xml:space="preserve">F5 disclosed approximately</w:t>
      </w:r>
      <w:r>
        <w:t xml:space="preserve"> </w:t>
      </w:r>
      <w:r>
        <w:rPr>
          <w:b/>
          <w:bCs/>
        </w:rPr>
        <w:t xml:space="preserve">$50 million of direct AI-use-case sales in 1H26</w:t>
      </w:r>
      <w:r>
        <w:t xml:space="preserve">, up more than</w:t>
      </w:r>
      <w:r>
        <w:t xml:space="preserve"> </w:t>
      </w:r>
      <w:r>
        <w:rPr>
          <w:b/>
          <w:bCs/>
        </w:rPr>
        <w:t xml:space="preserve">200% y/y</w:t>
      </w:r>
      <w:r>
        <w:t xml:space="preserve">, across roughly 100 customers. The direct opportunities include AI data delivery, AI runtime security, and AI-factory load balancing. More important near term may be indirect AI demand—higher application traffic, storage-to-model data movement, and infrastructure capacity expansion.</w:t>
      </w:r>
    </w:p>
    <w:p>
      <w:pPr>
        <w:pStyle w:val="FirstParagraph"/>
      </w:pPr>
      <w:r>
        <w:t xml:space="preserve">The bear case is that systems growth is still heavily influenced by a cyclical refresh, while software and services have yet to show the sustained acceleration needed to support a structurally higher growth profile. Software growth was healthy in 2Q, but management retained a</w:t>
      </w:r>
      <w:r>
        <w:t xml:space="preserve"> </w:t>
      </w:r>
      <w:r>
        <w:rPr>
          <w:b/>
          <w:bCs/>
        </w:rPr>
        <w:t xml:space="preserve">mid-single-digit FY26</w:t>
      </w:r>
      <w:r>
        <w:t xml:space="preserve"> </w:t>
      </w:r>
      <w:r>
        <w:t xml:space="preserve">outlook because subscription-renewal timing remains a constraint. Services grew only</w:t>
      </w:r>
      <w:r>
        <w:t xml:space="preserve"> </w:t>
      </w:r>
      <w:r>
        <w:rPr>
          <w:b/>
          <w:bCs/>
        </w:rPr>
        <w:t xml:space="preserve">2% y/y</w:t>
      </w:r>
      <w:r>
        <w:t xml:space="preserve">, partly because refreshed legacy appliances can temporarily reduce maintenance revenue before the larger installed base translates into future services growth.</w:t>
      </w:r>
    </w:p>
    <w:bookmarkEnd w:id="11"/>
    <w:bookmarkStart w:id="17" w:name="what-investors-should-watch"/>
    <w:p>
      <w:pPr>
        <w:pStyle w:val="Heading2"/>
      </w:pPr>
      <w:r>
        <w:t xml:space="preserve">What investors should watch</w:t>
      </w:r>
    </w:p>
    <w:bookmarkStart w:id="12" w:name="X9ac0fbb3c96fbac9489cc8d009800a89203d164"/>
    <w:p>
      <w:pPr>
        <w:pStyle w:val="Heading3"/>
      </w:pPr>
      <w:r>
        <w:t xml:space="preserve">1. Systems growth and the quality of product demand</w:t>
      </w:r>
    </w:p>
    <w:p>
      <w:pPr>
        <w:pStyle w:val="FirstParagraph"/>
      </w:pPr>
      <w:r>
        <w:t xml:space="preserve">The most important operating KPI remains systems revenue. Investors should look for continued double-digit systems growth, but also for management’s explanation of the mix:</w:t>
      </w:r>
    </w:p>
    <w:p>
      <w:pPr>
        <w:pStyle w:val="Compact"/>
        <w:numPr>
          <w:ilvl w:val="0"/>
          <w:numId w:val="1002"/>
        </w:numPr>
      </w:pPr>
      <w:r>
        <w:t xml:space="preserve">How much is end-of-support refresh versus new capacity?</w:t>
      </w:r>
    </w:p>
    <w:p>
      <w:pPr>
        <w:pStyle w:val="Compact"/>
        <w:numPr>
          <w:ilvl w:val="0"/>
          <w:numId w:val="1002"/>
        </w:numPr>
      </w:pPr>
      <w:r>
        <w:t xml:space="preserve">Are customers continuing to move up the performance stack?</w:t>
      </w:r>
    </w:p>
    <w:p>
      <w:pPr>
        <w:pStyle w:val="Compact"/>
        <w:numPr>
          <w:ilvl w:val="0"/>
          <w:numId w:val="1002"/>
        </w:numPr>
      </w:pPr>
      <w:r>
        <w:t xml:space="preserve">Is the company sustaining competitive displacements?</w:t>
      </w:r>
    </w:p>
    <w:p>
      <w:pPr>
        <w:pStyle w:val="Compact"/>
        <w:numPr>
          <w:ilvl w:val="0"/>
          <w:numId w:val="1002"/>
        </w:numPr>
      </w:pPr>
      <w:r>
        <w:t xml:space="preserve">Is demand broad geographically, particularly in the Americas after EMEA and APAC led 2Q growth?</w:t>
      </w:r>
    </w:p>
    <w:p>
      <w:pPr>
        <w:pStyle w:val="FirstParagraph"/>
      </w:pPr>
      <w:r>
        <w:t xml:space="preserve">A strong systems result paired with evidence of capacity expansion, competitive takeouts, and AI/data-delivery wins would support the “durable growth” thesis. A result dependent chiefly on iSeries replacement could revive concerns about a post-refresh deceleration.</w:t>
      </w:r>
    </w:p>
    <w:bookmarkEnd w:id="12"/>
    <w:bookmarkStart w:id="13" w:name="X4f750c2097eab041103062f15ddd104897b51ad"/>
    <w:p>
      <w:pPr>
        <w:pStyle w:val="Heading3"/>
      </w:pPr>
      <w:r>
        <w:t xml:space="preserve">2. FY26 guidance—and initial framing of FY27</w:t>
      </w:r>
    </w:p>
    <w:p>
      <w:pPr>
        <w:pStyle w:val="FirstParagraph"/>
      </w:pPr>
      <w:r>
        <w:t xml:space="preserve">F5 raised FY26 revenue growth to 7%–8% after 2Q. The pivotal question is whether it can raise again, or at least affirm that it remains on pace despite a tougher comparison and component-cost pressure.</w:t>
      </w:r>
    </w:p>
    <w:p>
      <w:pPr>
        <w:pStyle w:val="BodyText"/>
      </w:pPr>
      <w:r>
        <w:t xml:space="preserve">Management has already said it expects:</w:t>
      </w:r>
    </w:p>
    <w:p>
      <w:pPr>
        <w:pStyle w:val="Compact"/>
        <w:numPr>
          <w:ilvl w:val="0"/>
          <w:numId w:val="1003"/>
        </w:numPr>
      </w:pPr>
      <w:r>
        <w:rPr>
          <w:b/>
          <w:bCs/>
        </w:rPr>
        <w:t xml:space="preserve">Mid-single-digit software growth</w:t>
      </w:r>
      <w:r>
        <w:t xml:space="preserve"> </w:t>
      </w:r>
      <w:r>
        <w:t xml:space="preserve">in FY26, with an inflection to stronger growth in FY27;</w:t>
      </w:r>
    </w:p>
    <w:p>
      <w:pPr>
        <w:pStyle w:val="Compact"/>
        <w:numPr>
          <w:ilvl w:val="0"/>
          <w:numId w:val="1003"/>
        </w:numPr>
      </w:pPr>
      <w:r>
        <w:rPr>
          <w:b/>
          <w:bCs/>
        </w:rPr>
        <w:t xml:space="preserve">Double-digit systems growth</w:t>
      </w:r>
      <w:r>
        <w:t xml:space="preserve"> </w:t>
      </w:r>
      <w:r>
        <w:t xml:space="preserve">for FY26;</w:t>
      </w:r>
    </w:p>
    <w:p>
      <w:pPr>
        <w:pStyle w:val="Compact"/>
        <w:numPr>
          <w:ilvl w:val="0"/>
          <w:numId w:val="1003"/>
        </w:numPr>
      </w:pPr>
      <w:r>
        <w:rPr>
          <w:b/>
          <w:bCs/>
        </w:rPr>
        <w:t xml:space="preserve">Low-single-digit services growth</w:t>
      </w:r>
      <w:r>
        <w:t xml:space="preserve"> </w:t>
      </w:r>
      <w:r>
        <w:t xml:space="preserve">in FY26; and</w:t>
      </w:r>
    </w:p>
    <w:p>
      <w:pPr>
        <w:pStyle w:val="Compact"/>
        <w:numPr>
          <w:ilvl w:val="0"/>
          <w:numId w:val="1003"/>
        </w:numPr>
      </w:pPr>
      <w:r>
        <w:t xml:space="preserve">A stronger systems opportunity extending into FY27.</w:t>
      </w:r>
    </w:p>
    <w:p>
      <w:pPr>
        <w:pStyle w:val="FirstParagraph"/>
      </w:pPr>
      <w:r>
        <w:t xml:space="preserve">Any incremental confidence around FY27 systems and software growth would likely matter as much as a modest 3Q beat.</w:t>
      </w:r>
    </w:p>
    <w:bookmarkEnd w:id="13"/>
    <w:bookmarkStart w:id="14" w:name="X52a31d12801eb4f3837bb7f730e2940256cb5d2"/>
    <w:p>
      <w:pPr>
        <w:pStyle w:val="Heading3"/>
      </w:pPr>
      <w:r>
        <w:t xml:space="preserve">3. Software trajectory</w:t>
      </w:r>
    </w:p>
    <w:p>
      <w:pPr>
        <w:pStyle w:val="FirstParagraph"/>
      </w:pPr>
      <w:r>
        <w:t xml:space="preserve">Software was</w:t>
      </w:r>
      <w:r>
        <w:t xml:space="preserve"> </w:t>
      </w:r>
      <w:r>
        <w:rPr>
          <w:b/>
          <w:bCs/>
        </w:rPr>
        <w:t xml:space="preserve">$184 million in 2Q</w:t>
      </w:r>
      <w:r>
        <w:t xml:space="preserve">, up</w:t>
      </w:r>
      <w:r>
        <w:t xml:space="preserve"> </w:t>
      </w:r>
      <w:r>
        <w:rPr>
          <w:b/>
          <w:bCs/>
        </w:rPr>
        <w:t xml:space="preserve">17% y/y</w:t>
      </w:r>
      <w:r>
        <w:t xml:space="preserve">, with subscription-based software representing</w:t>
      </w:r>
      <w:r>
        <w:t xml:space="preserve"> </w:t>
      </w:r>
      <w:r>
        <w:rPr>
          <w:b/>
          <w:bCs/>
        </w:rPr>
        <w:t xml:space="preserve">90%</w:t>
      </w:r>
      <w:r>
        <w:t xml:space="preserve"> </w:t>
      </w:r>
      <w:r>
        <w:t xml:space="preserve">of software revenue. The near-term challenge is timing: F5 says the current renewal base supports only mid-single-digit software growth for FY26, but that a larger renewal base and expansion potential should support faster growth in FY27.</w:t>
      </w:r>
    </w:p>
    <w:p>
      <w:pPr>
        <w:pStyle w:val="BodyText"/>
      </w:pPr>
      <w:r>
        <w:t xml:space="preserve">Key questions:</w:t>
      </w:r>
    </w:p>
    <w:p>
      <w:pPr>
        <w:pStyle w:val="Compact"/>
        <w:numPr>
          <w:ilvl w:val="0"/>
          <w:numId w:val="1004"/>
        </w:numPr>
      </w:pPr>
      <w:r>
        <w:t xml:space="preserve">Is Distributed Cloud continuing to scale?</w:t>
      </w:r>
    </w:p>
    <w:p>
      <w:pPr>
        <w:pStyle w:val="Compact"/>
        <w:numPr>
          <w:ilvl w:val="0"/>
          <w:numId w:val="1004"/>
        </w:numPr>
      </w:pPr>
      <w:r>
        <w:t xml:space="preserve">Are WAF, API security, bot defense, and AI security increasing cross-sell?</w:t>
      </w:r>
    </w:p>
    <w:p>
      <w:pPr>
        <w:pStyle w:val="Compact"/>
        <w:numPr>
          <w:ilvl w:val="0"/>
          <w:numId w:val="1004"/>
        </w:numPr>
      </w:pPr>
      <w:r>
        <w:t xml:space="preserve">Is renewal/expansion behavior tracking management’s expectations?</w:t>
      </w:r>
    </w:p>
    <w:p>
      <w:pPr>
        <w:pStyle w:val="Compact"/>
        <w:numPr>
          <w:ilvl w:val="0"/>
          <w:numId w:val="1004"/>
        </w:numPr>
      </w:pPr>
      <w:r>
        <w:t xml:space="preserve">Is management still confident in double-digit software growth over the longer term?</w:t>
      </w:r>
    </w:p>
    <w:bookmarkEnd w:id="14"/>
    <w:bookmarkStart w:id="15" w:name="Xde5388f711075ce73d2e226fcaf7542760cc5ba"/>
    <w:p>
      <w:pPr>
        <w:pStyle w:val="Heading3"/>
      </w:pPr>
      <w:r>
        <w:t xml:space="preserve">4. AI: tangible revenue versus narrative</w:t>
      </w:r>
    </w:p>
    <w:p>
      <w:pPr>
        <w:pStyle w:val="FirstParagraph"/>
      </w:pPr>
      <w:r>
        <w:t xml:space="preserve">AI is strategically credible for F5, but still early financially. The best evidence of progress would be updated direct-AI revenue, customer counts, or material wins in:</w:t>
      </w:r>
    </w:p>
    <w:p>
      <w:pPr>
        <w:pStyle w:val="Compact"/>
        <w:numPr>
          <w:ilvl w:val="0"/>
          <w:numId w:val="1005"/>
        </w:numPr>
      </w:pPr>
      <w:r>
        <w:rPr>
          <w:b/>
          <w:bCs/>
        </w:rPr>
        <w:t xml:space="preserve">AI data delivery</w:t>
      </w:r>
      <w:r>
        <w:t xml:space="preserve"> </w:t>
      </w:r>
      <w:r>
        <w:t xml:space="preserve">— F5 systems placed in front of object storage and data pipelines;</w:t>
      </w:r>
    </w:p>
    <w:p>
      <w:pPr>
        <w:pStyle w:val="Compact"/>
        <w:numPr>
          <w:ilvl w:val="0"/>
          <w:numId w:val="1005"/>
        </w:numPr>
      </w:pPr>
      <w:r>
        <w:rPr>
          <w:b/>
          <w:bCs/>
        </w:rPr>
        <w:t xml:space="preserve">AI runtime security</w:t>
      </w:r>
      <w:r>
        <w:t xml:space="preserve"> </w:t>
      </w:r>
      <w:r>
        <w:t xml:space="preserve">— CalypsoAI-derived red teaming, guardrails, and remediation capabilities; and</w:t>
      </w:r>
    </w:p>
    <w:p>
      <w:pPr>
        <w:pStyle w:val="Compact"/>
        <w:numPr>
          <w:ilvl w:val="0"/>
          <w:numId w:val="1005"/>
        </w:numPr>
      </w:pPr>
      <w:r>
        <w:rPr>
          <w:b/>
          <w:bCs/>
        </w:rPr>
        <w:t xml:space="preserve">AI-factory load balancing</w:t>
      </w:r>
      <w:r>
        <w:t xml:space="preserve"> </w:t>
      </w:r>
      <w:r>
        <w:t xml:space="preserve">— an earlier-stage opportunity tied to NVIDIA DPU deployments and token efficiency.</w:t>
      </w:r>
    </w:p>
    <w:p>
      <w:pPr>
        <w:pStyle w:val="FirstParagraph"/>
      </w:pPr>
      <w:r>
        <w:t xml:space="preserve">Management has been appropriately clear that AI-factory load balancing is nascent. Investors should view AI data delivery and application/API security as the more immediate revenue contributors.</w:t>
      </w:r>
    </w:p>
    <w:bookmarkEnd w:id="15"/>
    <w:bookmarkStart w:id="16" w:name="X23a07af126eef0b29f861640a0342c43d3d3785"/>
    <w:p>
      <w:pPr>
        <w:pStyle w:val="Heading3"/>
      </w:pPr>
      <w:r>
        <w:t xml:space="preserve">5. Gross-margin outlook and memory costs</w:t>
      </w:r>
    </w:p>
    <w:p>
      <w:pPr>
        <w:pStyle w:val="FirstParagraph"/>
      </w:pPr>
      <w:r>
        <w:t xml:space="preserve">Gross margin is the principal near-term financial risk. F5 expects higher memory and storage costs to begin affecting results in 3Q and to be more pronounced in 4Q, with pressure persisting through much of FY27. It guided 3Q non-GAAP gross margin to</w:t>
      </w:r>
      <w:r>
        <w:t xml:space="preserve"> </w:t>
      </w:r>
      <w:r>
        <w:rPr>
          <w:b/>
          <w:bCs/>
        </w:rPr>
        <w:t xml:space="preserve">82.5%–83.5%</w:t>
      </w:r>
      <w:r>
        <w:t xml:space="preserve"> </w:t>
      </w:r>
      <w:r>
        <w:t xml:space="preserve">and previously warned of a sequential step-down from 3Q to 4Q.</w:t>
      </w:r>
    </w:p>
    <w:p>
      <w:pPr>
        <w:pStyle w:val="BodyText"/>
      </w:pPr>
      <w:r>
        <w:t xml:space="preserve">Important call items:</w:t>
      </w:r>
    </w:p>
    <w:p>
      <w:pPr>
        <w:pStyle w:val="Compact"/>
        <w:numPr>
          <w:ilvl w:val="0"/>
          <w:numId w:val="1006"/>
        </w:numPr>
      </w:pPr>
      <w:r>
        <w:t xml:space="preserve">Does F5 still expect the 4Q step-down?</w:t>
      </w:r>
    </w:p>
    <w:p>
      <w:pPr>
        <w:pStyle w:val="Compact"/>
        <w:numPr>
          <w:ilvl w:val="0"/>
          <w:numId w:val="1006"/>
        </w:numPr>
      </w:pPr>
      <w:r>
        <w:t xml:space="preserve">Are component costs rising, stabilizing, or easing?</w:t>
      </w:r>
    </w:p>
    <w:p>
      <w:pPr>
        <w:pStyle w:val="Compact"/>
        <w:numPr>
          <w:ilvl w:val="0"/>
          <w:numId w:val="1006"/>
        </w:numPr>
      </w:pPr>
      <w:r>
        <w:t xml:space="preserve">Can pricing actions and discount discipline offset the pressure?</w:t>
      </w:r>
    </w:p>
    <w:p>
      <w:pPr>
        <w:pStyle w:val="Compact"/>
        <w:numPr>
          <w:ilvl w:val="0"/>
          <w:numId w:val="1006"/>
        </w:numPr>
      </w:pPr>
      <w:r>
        <w:t xml:space="preserve">Does supply remain sufficient to support systems upside?</w:t>
      </w:r>
    </w:p>
    <w:p>
      <w:pPr>
        <w:pStyle w:val="FirstParagraph"/>
      </w:pPr>
      <w:r>
        <w:t xml:space="preserve">The company has said its early component procurement has protected near-term availability, but a worse-than-expected margin outlook could overshadow a revenue beat.</w:t>
      </w:r>
    </w:p>
    <w:bookmarkEnd w:id="16"/>
    <w:bookmarkEnd w:id="17"/>
    <w:bookmarkStart w:id="18" w:name="balance-sheet-and-capital-return"/>
    <w:p>
      <w:pPr>
        <w:pStyle w:val="Heading2"/>
      </w:pPr>
      <w:r>
        <w:t xml:space="preserve">Balance sheet and capital return</w:t>
      </w:r>
    </w:p>
    <w:p>
      <w:pPr>
        <w:pStyle w:val="FirstParagraph"/>
      </w:pPr>
      <w:r>
        <w:t xml:space="preserve">F5 remains financially flexible. At the end of 2Q, it had</w:t>
      </w:r>
      <w:r>
        <w:t xml:space="preserve"> </w:t>
      </w:r>
      <m:oMath>
        <m:r>
          <m:t>1.46</m:t>
        </m:r>
        <m:r>
          <m:t>b</m:t>
        </m:r>
        <m:r>
          <m:t>i</m:t>
        </m:r>
        <m:r>
          <m:t>l</m:t>
        </m:r>
        <m:r>
          <m:t>l</m:t>
        </m:r>
        <m:r>
          <m:t>i</m:t>
        </m:r>
        <m:r>
          <m:t>o</m:t>
        </m:r>
        <m:r>
          <m:t>n</m:t>
        </m:r>
        <m:r>
          <m:rPr>
            <m:sty m:val="p"/>
          </m:rPr>
          <m:t>*</m:t>
        </m:r>
        <m:r>
          <m:rPr>
            <m:sty m:val="p"/>
          </m:rPr>
          <m:t>*</m:t>
        </m:r>
        <m:r>
          <m:t>o</m:t>
        </m:r>
        <m:r>
          <m:t>f</m:t>
        </m:r>
        <m:r>
          <m:t>c</m:t>
        </m:r>
        <m:r>
          <m:t>a</m:t>
        </m:r>
        <m:r>
          <m:t>s</m:t>
        </m:r>
        <m:r>
          <m:t>h</m:t>
        </m:r>
        <m:r>
          <m:t>a</m:t>
        </m:r>
        <m:r>
          <m:t>n</m:t>
        </m:r>
        <m:r>
          <m:t>d</m:t>
        </m:r>
        <m:r>
          <m:t>i</m:t>
        </m:r>
        <m:r>
          <m:t>n</m:t>
        </m:r>
        <m:r>
          <m:t>v</m:t>
        </m:r>
        <m:r>
          <m:t>e</m:t>
        </m:r>
        <m:r>
          <m:t>s</m:t>
        </m:r>
        <m:r>
          <m:t>t</m:t>
        </m:r>
        <m:r>
          <m:t>m</m:t>
        </m:r>
        <m:r>
          <m:t>e</m:t>
        </m:r>
        <m:r>
          <m:t>n</m:t>
        </m:r>
        <m:r>
          <m:t>t</m:t>
        </m:r>
        <m:r>
          <m:t>s</m:t>
        </m:r>
        <m:r>
          <m:rPr>
            <m:sty m:val="p"/>
          </m:rPr>
          <m:t>,</m:t>
        </m:r>
        <m:r>
          <m:t>g</m:t>
        </m:r>
        <m:r>
          <m:t>e</m:t>
        </m:r>
        <m:r>
          <m:t>n</m:t>
        </m:r>
        <m:r>
          <m:t>e</m:t>
        </m:r>
        <m:r>
          <m:t>r</m:t>
        </m:r>
        <m:r>
          <m:t>a</m:t>
        </m:r>
        <m:r>
          <m:t>t</m:t>
        </m:r>
        <m:r>
          <m:t>e</m:t>
        </m:r>
        <m:r>
          <m:t>d</m:t>
        </m:r>
        <m:r>
          <m:t>a</m:t>
        </m:r>
        <m:r>
          <m:t>r</m:t>
        </m:r>
        <m:r>
          <m:t>e</m:t>
        </m:r>
        <m:r>
          <m:t>c</m:t>
        </m:r>
        <m:r>
          <m:t>o</m:t>
        </m:r>
        <m:r>
          <m:t>r</m:t>
        </m:r>
        <m:r>
          <m:t>d</m:t>
        </m:r>
        <m:r>
          <m:rPr>
            <m:sty m:val="p"/>
          </m:rPr>
          <m:t>*</m:t>
        </m:r>
        <m:r>
          <m:rPr>
            <m:sty m:val="p"/>
          </m:rPr>
          <m:t>*</m:t>
        </m:r>
      </m:oMath>
      <w:r>
        <w:rPr>
          <w:b/>
          <w:bCs/>
        </w:rPr>
        <w:t xml:space="preserve">348 million</w:t>
      </w:r>
      <w:r>
        <w:t xml:space="preserve"> </w:t>
      </w:r>
      <w:r>
        <w:t xml:space="preserve">of quarterly free cash flow, and had</w:t>
      </w:r>
      <w:r>
        <w:t xml:space="preserve"> </w:t>
      </w:r>
      <w:r>
        <w:rPr>
          <w:b/>
          <w:bCs/>
        </w:rPr>
        <w:t xml:space="preserve">$522 million</w:t>
      </w:r>
      <w:r>
        <w:t xml:space="preserve"> </w:t>
      </w:r>
      <w:r>
        <w:t xml:space="preserve">remaining under its repurchase authorization. It repurchased $100 million of stock in 2Q and has committed to returning at least 50% of annual free cash flow through buybacks.</w:t>
      </w:r>
    </w:p>
    <w:p>
      <w:pPr>
        <w:pStyle w:val="BodyText"/>
      </w:pPr>
      <w:r>
        <w:t xml:space="preserve">Deferred revenue reached</w:t>
      </w:r>
      <w:r>
        <w:t xml:space="preserve"> </w:t>
      </w:r>
      <w:r>
        <w:rPr>
          <w:b/>
          <w:bCs/>
        </w:rPr>
        <w:t xml:space="preserve">$2.12 billion</w:t>
      </w:r>
      <w:r>
        <w:t xml:space="preserve">, up</w:t>
      </w:r>
      <w:r>
        <w:t xml:space="preserve"> </w:t>
      </w:r>
      <w:r>
        <w:rPr>
          <w:b/>
          <w:bCs/>
        </w:rPr>
        <w:t xml:space="preserve">10% y/y</w:t>
      </w:r>
      <w:r>
        <w:t xml:space="preserve">, supporting visibility in the maintenance and subscription base. The balance sheet gives F5 capacity to continue buybacks and selectively pursue acquisitions, particularly in AI and security.</w:t>
      </w:r>
    </w:p>
    <w:bookmarkEnd w:id="18"/>
    <w:bookmarkStart w:id="19" w:name="risks-to-the-quarter"/>
    <w:p>
      <w:pPr>
        <w:pStyle w:val="Heading2"/>
      </w:pPr>
      <w:r>
        <w:t xml:space="preserve">Risks to the quarter</w:t>
      </w:r>
    </w:p>
    <w:p>
      <w:pPr>
        <w:pStyle w:val="Compact"/>
        <w:numPr>
          <w:ilvl w:val="0"/>
          <w:numId w:val="1007"/>
        </w:numPr>
      </w:pPr>
      <w:r>
        <w:rPr>
          <w:b/>
          <w:bCs/>
        </w:rPr>
        <w:t xml:space="preserve">Cyclical refresh exposure:</w:t>
      </w:r>
      <w:r>
        <w:t xml:space="preserve"> </w:t>
      </w:r>
      <w:r>
        <w:t xml:space="preserve">A slowdown in iSeries replacement or weaker expansion at refresh would challenge the systems outlook.</w:t>
      </w:r>
    </w:p>
    <w:p>
      <w:pPr>
        <w:pStyle w:val="Compact"/>
        <w:numPr>
          <w:ilvl w:val="0"/>
          <w:numId w:val="1007"/>
        </w:numPr>
      </w:pPr>
      <w:r>
        <w:rPr>
          <w:b/>
          <w:bCs/>
        </w:rPr>
        <w:t xml:space="preserve">Component-cost inflation:</w:t>
      </w:r>
      <w:r>
        <w:t xml:space="preserve"> </w:t>
      </w:r>
      <w:r>
        <w:t xml:space="preserve">Memory and SSD pricing could pressure gross margin more than expected.</w:t>
      </w:r>
    </w:p>
    <w:p>
      <w:pPr>
        <w:pStyle w:val="Compact"/>
        <w:numPr>
          <w:ilvl w:val="0"/>
          <w:numId w:val="1007"/>
        </w:numPr>
      </w:pPr>
      <w:r>
        <w:rPr>
          <w:b/>
          <w:bCs/>
        </w:rPr>
        <w:t xml:space="preserve">Software timing:</w:t>
      </w:r>
      <w:r>
        <w:t xml:space="preserve"> </w:t>
      </w:r>
      <w:r>
        <w:t xml:space="preserve">A healthy underlying subscription business can still produce uneven reported growth because of renewal-cycle timing.</w:t>
      </w:r>
    </w:p>
    <w:p>
      <w:pPr>
        <w:pStyle w:val="Compact"/>
        <w:numPr>
          <w:ilvl w:val="0"/>
          <w:numId w:val="1007"/>
        </w:numPr>
      </w:pPr>
      <w:r>
        <w:rPr>
          <w:b/>
          <w:bCs/>
        </w:rPr>
        <w:t xml:space="preserve">Services lag:</w:t>
      </w:r>
      <w:r>
        <w:t xml:space="preserve"> </w:t>
      </w:r>
      <w:r>
        <w:t xml:space="preserve">Strong product sales do not immediately translate into services revenue growth.</w:t>
      </w:r>
    </w:p>
    <w:p>
      <w:pPr>
        <w:pStyle w:val="Compact"/>
        <w:numPr>
          <w:ilvl w:val="0"/>
          <w:numId w:val="1007"/>
        </w:numPr>
      </w:pPr>
      <w:r>
        <w:rPr>
          <w:b/>
          <w:bCs/>
        </w:rPr>
        <w:t xml:space="preserve">Cyber incident and litigation:</w:t>
      </w:r>
      <w:r>
        <w:t xml:space="preserve"> </w:t>
      </w:r>
      <w:r>
        <w:t xml:space="preserve">F5 disclosed a long-running cyber incident in October 2025 and recorded</w:t>
      </w:r>
      <w:r>
        <w:t xml:space="preserve"> </w:t>
      </w:r>
      <w:r>
        <w:rPr>
          <w:b/>
          <w:bCs/>
        </w:rPr>
        <w:t xml:space="preserve">$23.5 million</w:t>
      </w:r>
      <w:r>
        <w:t xml:space="preserve"> </w:t>
      </w:r>
      <w:r>
        <w:t xml:space="preserve">of related costs in the first half of FY26. Legal and professional expenses, customer concerns, or further disclosures remain an overhang.</w:t>
      </w:r>
    </w:p>
    <w:p>
      <w:pPr>
        <w:pStyle w:val="Compact"/>
        <w:numPr>
          <w:ilvl w:val="0"/>
          <w:numId w:val="1007"/>
        </w:numPr>
      </w:pPr>
      <w:r>
        <w:rPr>
          <w:b/>
          <w:bCs/>
        </w:rPr>
        <w:t xml:space="preserve">Execution in new markets:</w:t>
      </w:r>
      <w:r>
        <w:t xml:space="preserve"> </w:t>
      </w:r>
      <w:r>
        <w:t xml:space="preserve">AI security and AI-factory opportunities are promising but not yet large enough to be relied upon as the primary near-term earnings driver.</w:t>
      </w:r>
    </w:p>
    <w:bookmarkEnd w:id="19"/>
    <w:bookmarkStart w:id="20" w:name="bottom-line"/>
    <w:p>
      <w:pPr>
        <w:pStyle w:val="Heading2"/>
      </w:pPr>
      <w:r>
        <w:t xml:space="preserve">Bottom line</w:t>
      </w:r>
    </w:p>
    <w:p>
      <w:pPr>
        <w:pStyle w:val="FirstParagraph"/>
      </w:pPr>
      <w:r>
        <w:t xml:space="preserve">F5 has moved from a legacy ADC-refresh narrative toward a more compelling combination of</w:t>
      </w:r>
      <w:r>
        <w:t xml:space="preserve"> </w:t>
      </w:r>
      <w:r>
        <w:rPr>
          <w:b/>
          <w:bCs/>
        </w:rPr>
        <w:t xml:space="preserve">systems refresh, hybrid-multicloud infrastructure expansion, security consolidation, and emerging AI demand</w:t>
      </w:r>
      <w:r>
        <w:t xml:space="preserve">. The 3Q report needs to show that this is not merely a strong hardware cycle.</w:t>
      </w:r>
    </w:p>
    <w:p>
      <w:pPr>
        <w:pStyle w:val="BodyText"/>
      </w:pPr>
      <w:r>
        <w:rPr>
          <w:b/>
          <w:bCs/>
        </w:rPr>
        <w:t xml:space="preserve">Bullish outcome:</w:t>
      </w:r>
      <w:r>
        <w:t xml:space="preserve"> </w:t>
      </w:r>
      <w:r>
        <w:t xml:space="preserve">Revenue and EPS above the high end of guidance, another FY26 outlook raise, sustained double-digit systems growth, constructive FY27 commentary, and confirmation that AI/security and competitive displacement are contributing meaningfully beyond refresh.</w:t>
      </w:r>
    </w:p>
    <w:p>
      <w:pPr>
        <w:pStyle w:val="BodyText"/>
      </w:pPr>
      <w:r>
        <w:rPr>
          <w:b/>
          <w:bCs/>
        </w:rPr>
        <w:t xml:space="preserve">More cautious outcome:</w:t>
      </w:r>
      <w:r>
        <w:t xml:space="preserve"> </w:t>
      </w:r>
      <w:r>
        <w:t xml:space="preserve">Results meet guidance but systems growth moderates, software remains constrained, margins face a sharper component-cost hit, or FY26/FY27 commentary implies that growth fades as the refresh cycle matures.</w:t>
      </w:r>
    </w:p>
    <w:p>
      <w:pPr>
        <w:pStyle w:val="BodyText"/>
      </w:pPr>
      <w:r>
        <w:rPr>
          <w:b/>
          <w:bCs/>
        </w:rPr>
        <w:t xml:space="preserve">Investor focus in one sentence:</w:t>
      </w:r>
      <w:r>
        <w:t xml:space="preserve"> </w:t>
      </w:r>
      <w:r>
        <w:t xml:space="preserve">Watch whether F5 can turn strong 3Q execution into higher confidence that upper-single-digit revenue growth—and eventually double-digit software growth—is sustainable beyond the current refresh cycle.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2026-07-27T00:05:41Z</dcterms:created>
  <dcterms:modified xsi:type="dcterms:W3CDTF">2026-07-27T00:05:41Z</dcterms:modified>
</cp:coreProperties>
</file>

<file path=docProps/custom.xml><?xml version="1.0" encoding="utf-8"?>
<Properties xmlns="http://schemas.openxmlformats.org/officeDocument/2006/custom-properties" xmlns:vt="http://schemas.openxmlformats.org/officeDocument/2006/docPropsVTypes"/>
</file>