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F5 Networks (FFIV) — Q3 FY2026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F5 Networks, Inc.</w:t>
            </w:r>
          </w:p>
        </w:tc>
        <w:tc>
          <w:tcPr>
            <w:tcW w:type="dxa" w:w="2160"/>
          </w:tcPr>
          <w:p>
            <w:r>
              <w:rPr>
                <w:rFonts w:ascii="Calibri" w:hAnsi="Calibri"/>
                <w:b/>
                <w:sz w:val="22"/>
              </w:rPr>
              <w:t>Ticker</w:t>
            </w:r>
          </w:p>
        </w:tc>
        <w:tc>
          <w:tcPr>
            <w:tcW w:type="dxa" w:w="2160"/>
          </w:tcPr>
          <w:p>
            <w:r>
              <w:rPr>
                <w:rFonts w:ascii="Calibri" w:hAnsi="Calibri"/>
                <w:sz w:val="22"/>
              </w:rPr>
              <w:t>FFIV (NASDAQ)</w:t>
            </w:r>
          </w:p>
        </w:tc>
      </w:tr>
      <w:tr>
        <w:tc>
          <w:tcPr>
            <w:tcW w:type="dxa" w:w="2160"/>
          </w:tcPr>
          <w:p>
            <w:r>
              <w:rPr>
                <w:rFonts w:ascii="Calibri" w:hAnsi="Calibri"/>
                <w:b/>
                <w:sz w:val="22"/>
              </w:rPr>
              <w:t>Earnings Date</w:t>
            </w:r>
          </w:p>
        </w:tc>
        <w:tc>
          <w:tcPr>
            <w:tcW w:type="dxa" w:w="2160"/>
          </w:tcPr>
          <w:p>
            <w:r>
              <w:rPr>
                <w:rFonts w:ascii="Calibri" w:hAnsi="Calibri"/>
                <w:sz w:val="22"/>
              </w:rPr>
              <w:t>July 27, 2026 (After Market Close)</w:t>
            </w:r>
          </w:p>
        </w:tc>
        <w:tc>
          <w:tcPr>
            <w:tcW w:type="dxa" w:w="2160"/>
          </w:tcPr>
          <w:p>
            <w:r>
              <w:rPr>
                <w:rFonts w:ascii="Calibri" w:hAnsi="Calibri"/>
                <w:b/>
                <w:sz w:val="22"/>
              </w:rPr>
              <w:t>Reporting Period</w:t>
            </w:r>
          </w:p>
        </w:tc>
        <w:tc>
          <w:tcPr>
            <w:tcW w:type="dxa" w:w="2160"/>
          </w:tcPr>
          <w:p>
            <w:r>
              <w:rPr>
                <w:rFonts w:ascii="Calibri" w:hAnsi="Calibri"/>
                <w:sz w:val="22"/>
              </w:rPr>
              <w:t>Q3 FY2026 (ends June 30, 2026)</w:t>
            </w:r>
          </w:p>
        </w:tc>
      </w:tr>
      <w:tr>
        <w:tc>
          <w:tcPr>
            <w:tcW w:type="dxa" w:w="2160"/>
          </w:tcPr>
          <w:p>
            <w:r>
              <w:rPr>
                <w:rFonts w:ascii="Calibri" w:hAnsi="Calibri"/>
                <w:b/>
                <w:sz w:val="22"/>
              </w:rPr>
              <w:t>Prepared Date</w:t>
            </w:r>
          </w:p>
        </w:tc>
        <w:tc>
          <w:tcPr>
            <w:tcW w:type="dxa" w:w="2160"/>
          </w:tcPr>
          <w:p>
            <w:r>
              <w:rPr>
                <w:rFonts w:ascii="Calibri" w:hAnsi="Calibri"/>
                <w:sz w:val="22"/>
              </w:rPr>
              <w:t>July 26, 2026</w:t>
            </w:r>
          </w:p>
        </w:tc>
        <w:tc>
          <w:tcPr>
            <w:tcW w:type="dxa" w:w="2160"/>
          </w:tcPr>
          <w:p>
            <w:r>
              <w:rPr>
                <w:rFonts w:ascii="Calibri" w:hAnsi="Calibri"/>
                <w:b/>
                <w:sz w:val="22"/>
              </w:rPr>
              <w:t>Last Earnings</w:t>
            </w:r>
          </w:p>
        </w:tc>
        <w:tc>
          <w:tcPr>
            <w:tcW w:type="dxa" w:w="2160"/>
          </w:tcPr>
          <w:p>
            <w:r>
              <w:rPr>
                <w:rFonts w:ascii="Calibri" w:hAnsi="Calibri"/>
                <w:sz w:val="22"/>
              </w:rPr>
              <w:t>April 28, 2026 (Q2 FY2026)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leans toward a beat — consensus sits at the low end of management’s own guidance range, the refresh cycle remains the strongest in company history, and AI revenue is inflecting; the primary swing factor is whether </w:t>
      </w:r>
      <w:r>
        <w:rPr>
          <w:rFonts w:ascii="Calibri" w:hAnsi="Calibri"/>
          <w:b/>
          <w:color w:val="525866"/>
          <w:sz w:val="22"/>
        </w:rPr>
        <w:t>systems revenue sustains double-digit growth</w:t>
      </w:r>
      <w:r>
        <w:rPr>
          <w:rFonts w:ascii="Calibri" w:hAnsi="Calibri"/>
          <w:color w:val="525866"/>
          <w:sz w:val="22"/>
        </w:rPr>
        <w:t xml:space="preserve"> into Q3 or shows any deceleration.</w:t>
      </w:r>
    </w:p>
    <w:p>
      <w:r>
        <w:rPr>
          <w:rFonts w:ascii="Calibri" w:hAnsi="Calibri"/>
          <w:color w:val="525866"/>
          <w:sz w:val="22"/>
        </w:rPr>
        <w:t xml:space="preserve">Heading into Q3 FY2026, the bar looks manageable: consensus revenue of ~$835M sits near the midpoint of management’s $820–$840M guidance range, while consensus non-GAAP EPS of ~$4.01 is essentially in line with the $3.91–$4.03 guided range — leaving room for F5’s now-established pattern of beating both metrics. Management’s tone has been consistently confident since the Q2 print, culminating in a May 28 Investor Day where the company guided to an </w:t>
      </w:r>
      <w:r>
        <w:rPr>
          <w:rFonts w:ascii="Calibri" w:hAnsi="Calibri"/>
          <w:b/>
          <w:color w:val="525866"/>
          <w:sz w:val="22"/>
        </w:rPr>
        <w:t>upper-single-digit revenue CAGR through FY2029</w:t>
      </w:r>
      <w:r>
        <w:rPr>
          <w:rFonts w:ascii="Calibri" w:hAnsi="Calibri"/>
          <w:color w:val="525866"/>
          <w:sz w:val="22"/>
        </w:rPr>
        <w:t xml:space="preserve"> and double-digit non-GAAP EPS CAGR, signaling durable conviction in the multi-year growth algorithm. Estimate revisions have been stable-to-slightly-positive since the Q2 beat and guidance raise, with no meaningful divergence from the guidance corridor. The stock has surged ~29% since the Q2 print — meaningfully outperforming both the S&amp;P 500 (+4%) and IGV (+4%) — meaning a portion of the beat is already priced in and the stock needs a clean execution to hold these levels. The key wildcard is </w:t>
      </w:r>
      <w:r>
        <w:rPr>
          <w:rFonts w:ascii="Calibri" w:hAnsi="Calibri"/>
          <w:b/>
          <w:color w:val="525866"/>
          <w:sz w:val="22"/>
        </w:rPr>
        <w:t>gross margin trajectory</w:t>
      </w:r>
      <w:r>
        <w:rPr>
          <w:rFonts w:ascii="Calibri" w:hAnsi="Calibri"/>
          <w:color w:val="525866"/>
          <w:sz w:val="22"/>
        </w:rPr>
        <w:t>: management flagged that rising memory/SSD costs will step down gross margin sequentially from Q3 into Q4, and any incremental commentary on the magnitude or duration of that headwind (expected to persist through much of FY2027) could be the single biggest driver of the stock’s reaction regardless of the top-line result.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low-to-fair bar</w:t>
      </w:r>
      <w:r>
        <w:rPr>
          <w:rFonts w:ascii="Calibri" w:hAnsi="Calibri"/>
          <w:color w:val="525866"/>
          <w:sz w:val="22"/>
        </w:rPr>
        <w:t xml:space="preserve"> — estimates sit near the midpoint of guidance on both revenue and EPS, consistent with F5’s recent pattern of beating both. </w:t>
      </w:r>
      <w:r>
        <w:rPr>
          <w:rFonts w:ascii="Calibri" w:hAnsi="Calibri"/>
          <w:b/>
          <w:color w:val="525866"/>
          <w:sz w:val="22"/>
        </w:rPr>
        <w:t>Systems revenue</w:t>
      </w:r>
      <w:r>
        <w:rPr>
          <w:rFonts w:ascii="Calibri" w:hAnsi="Calibri"/>
          <w:color w:val="525866"/>
          <w:sz w:val="22"/>
        </w:rPr>
        <w:t xml:space="preserve"> is the bigger swing factor: consensus implies a deceleration from Q2’s 26% YoY growth, and any upside there would likely drive the most positive stock reaction.</w:t>
      </w:r>
    </w:p>
    <w:p>
      <w:pPr>
        <w:pStyle w:val="Heading3"/>
      </w:pPr>
      <w:r>
        <w:rPr>
          <w:rFonts w:ascii="Calibri" w:hAnsi="Calibri"/>
          <w:b/>
          <w:color w:val="3B4259"/>
          <w:sz w:val="24"/>
        </w:rPr>
        <w:t>Table 1 — Current Quarter Snapshot (Q3 FY2026)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FY2026 Actual (Last Qtr)</w:t>
            </w:r>
          </w:p>
        </w:tc>
        <w:tc>
          <w:tcPr>
            <w:tcW w:type="dxa" w:w="1234"/>
            <w:shd w:val="clear" w:color="auto" w:fill="3B4259"/>
          </w:tcPr>
          <w:p>
            <w:r>
              <w:rPr>
                <w:rFonts w:ascii="Calibri" w:hAnsi="Calibri"/>
                <w:b/>
                <w:color w:val="FFFFFF"/>
                <w:sz w:val="22"/>
              </w:rPr>
              <w:t>Q3 FY2025 Actual (Prior Year)</w:t>
            </w:r>
          </w:p>
        </w:tc>
        <w:tc>
          <w:tcPr>
            <w:tcW w:type="dxa" w:w="1234"/>
            <w:shd w:val="clear" w:color="auto" w:fill="3B4259"/>
          </w:tcPr>
          <w:p>
            <w:r>
              <w:rPr>
                <w:rFonts w:ascii="Calibri" w:hAnsi="Calibri"/>
                <w:b/>
                <w:color w:val="FFFFFF"/>
                <w:sz w:val="22"/>
              </w:rPr>
              <w:t>Q3 FY2026 Consensus Est.</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Guidance (Q3 FY2026)</w:t>
            </w:r>
          </w:p>
        </w:tc>
        <w:tc>
          <w:tcPr>
            <w:tcW w:type="dxa" w:w="1234"/>
            <w:shd w:val="clear" w:color="auto" w:fill="3B4259"/>
          </w:tcPr>
          <w:p>
            <w:r>
              <w:rPr>
                <w:rFonts w:ascii="Calibri" w:hAnsi="Calibri"/>
                <w:b/>
                <w:color w:val="FFFFFF"/>
                <w:sz w:val="22"/>
              </w:rPr>
              <w:t>Cons. vs. Guidance Mid</w:t>
            </w:r>
          </w:p>
        </w:tc>
      </w:tr>
      <w:tr>
        <w:tc>
          <w:tcPr>
            <w:tcW w:type="dxa" w:w="1234"/>
          </w:tcPr>
          <w:p>
            <w:r>
              <w:rPr>
                <w:rFonts w:ascii="Calibri" w:hAnsi="Calibri"/>
                <w:sz w:val="22"/>
              </w:rPr>
              <w:t>Net Revenue ($M)</w:t>
            </w:r>
          </w:p>
        </w:tc>
        <w:tc>
          <w:tcPr>
            <w:tcW w:type="dxa" w:w="1234"/>
          </w:tcPr>
          <w:p>
            <w:r>
              <w:rPr>
                <w:rFonts w:ascii="Calibri" w:hAnsi="Calibri"/>
                <w:sz w:val="22"/>
              </w:rPr>
              <w:t>$811.7M</w:t>
            </w:r>
          </w:p>
        </w:tc>
        <w:tc>
          <w:tcPr>
            <w:tcW w:type="dxa" w:w="1234"/>
          </w:tcPr>
          <w:p>
            <w:r>
              <w:rPr>
                <w:rFonts w:ascii="Calibri" w:hAnsi="Calibri"/>
                <w:sz w:val="22"/>
              </w:rPr>
              <w:t>$780.4M</w:t>
            </w:r>
          </w:p>
        </w:tc>
        <w:tc>
          <w:tcPr>
            <w:tcW w:type="dxa" w:w="1234"/>
          </w:tcPr>
          <w:p>
            <w:r>
              <w:rPr>
                <w:rFonts w:ascii="Calibri" w:hAnsi="Calibri"/>
                <w:sz w:val="22"/>
              </w:rPr>
              <w:t>$835.0M</w:t>
            </w:r>
          </w:p>
        </w:tc>
        <w:tc>
          <w:tcPr>
            <w:tcW w:type="dxa" w:w="1234"/>
          </w:tcPr>
          <w:p>
            <w:r>
              <w:rPr>
                <w:rFonts w:ascii="Calibri" w:hAnsi="Calibri"/>
                <w:sz w:val="22"/>
              </w:rPr>
              <w:t>+7.0%</w:t>
            </w:r>
          </w:p>
        </w:tc>
        <w:tc>
          <w:tcPr>
            <w:tcW w:type="dxa" w:w="1234"/>
          </w:tcPr>
          <w:p>
            <w:r>
              <w:rPr>
                <w:rFonts w:ascii="Calibri" w:hAnsi="Calibri"/>
                <w:sz w:val="22"/>
              </w:rPr>
              <w:t>$820–$840M (mid: $830M)</w:t>
            </w:r>
          </w:p>
        </w:tc>
        <w:tc>
          <w:tcPr>
            <w:tcW w:type="dxa" w:w="1234"/>
          </w:tcPr>
          <w:p>
            <w:r>
              <w:rPr>
                <w:rFonts w:ascii="Calibri" w:hAnsi="Calibri"/>
                <w:sz w:val="22"/>
              </w:rPr>
              <w:t>+0.6%</w:t>
            </w:r>
          </w:p>
        </w:tc>
      </w:tr>
      <w:tr>
        <w:tc>
          <w:tcPr>
            <w:tcW w:type="dxa" w:w="1234"/>
          </w:tcPr>
          <w:p>
            <w:r>
              <w:rPr>
                <w:rFonts w:ascii="Calibri" w:hAnsi="Calibri"/>
                <w:sz w:val="22"/>
              </w:rPr>
              <w:t>Product Revenue ($M)</w:t>
            </w:r>
          </w:p>
        </w:tc>
        <w:tc>
          <w:tcPr>
            <w:tcW w:type="dxa" w:w="1234"/>
          </w:tcPr>
          <w:p>
            <w:r>
              <w:rPr>
                <w:rFonts w:ascii="Calibri" w:hAnsi="Calibri"/>
                <w:sz w:val="22"/>
              </w:rPr>
              <w:t>$410.5M</w:t>
            </w:r>
          </w:p>
        </w:tc>
        <w:tc>
          <w:tcPr>
            <w:tcW w:type="dxa" w:w="1234"/>
          </w:tcPr>
          <w:p>
            <w:r>
              <w:rPr>
                <w:rFonts w:ascii="Calibri" w:hAnsi="Calibri"/>
                <w:sz w:val="22"/>
              </w:rPr>
              <w:t>$388.8M</w:t>
            </w:r>
          </w:p>
        </w:tc>
        <w:tc>
          <w:tcPr>
            <w:tcW w:type="dxa" w:w="1234"/>
          </w:tcPr>
          <w:p>
            <w:r>
              <w:rPr>
                <w:rFonts w:ascii="Calibri" w:hAnsi="Calibri"/>
                <w:sz w:val="22"/>
              </w:rPr>
              <w:t>$430.7M</w:t>
            </w:r>
          </w:p>
        </w:tc>
        <w:tc>
          <w:tcPr>
            <w:tcW w:type="dxa" w:w="1234"/>
          </w:tcPr>
          <w:p>
            <w:r>
              <w:rPr>
                <w:rFonts w:ascii="Calibri" w:hAnsi="Calibri"/>
                <w:sz w:val="22"/>
              </w:rPr>
              <w:t>+10.8%</w:t>
            </w:r>
          </w:p>
        </w:tc>
        <w:tc>
          <w:tcPr>
            <w:tcW w:type="dxa" w:w="1234"/>
          </w:tcPr>
          <w:p>
            <w:r>
              <w:rPr>
                <w:rFonts w:ascii="Calibri" w:hAnsi="Calibri"/>
                <w:sz w:val="22"/>
              </w:rPr>
              <w:t>N/A (implied double-digit growth)</w:t>
            </w:r>
          </w:p>
        </w:tc>
        <w:tc>
          <w:tcPr>
            <w:tcW w:type="dxa" w:w="1234"/>
          </w:tcPr>
          <w:p>
            <w:r>
              <w:rPr>
                <w:rFonts w:ascii="Calibri" w:hAnsi="Calibri"/>
                <w:sz w:val="22"/>
              </w:rPr>
              <w:t>N/A</w:t>
            </w:r>
          </w:p>
        </w:tc>
      </w:tr>
      <w:tr>
        <w:tc>
          <w:tcPr>
            <w:tcW w:type="dxa" w:w="1234"/>
          </w:tcPr>
          <w:p>
            <w:r>
              <w:rPr>
                <w:rFonts w:ascii="Calibri" w:hAnsi="Calibri"/>
                <w:sz w:val="22"/>
              </w:rPr>
              <w:t>Systems Revenue ($M)</w:t>
            </w:r>
          </w:p>
        </w:tc>
        <w:tc>
          <w:tcPr>
            <w:tcW w:type="dxa" w:w="1234"/>
          </w:tcPr>
          <w:p>
            <w:r>
              <w:rPr>
                <w:rFonts w:ascii="Calibri" w:hAnsi="Calibri"/>
                <w:sz w:val="22"/>
              </w:rPr>
              <w:t>$226.0M</w:t>
            </w:r>
          </w:p>
        </w:tc>
        <w:tc>
          <w:tcPr>
            <w:tcW w:type="dxa" w:w="1234"/>
          </w:tcPr>
          <w:p>
            <w:r>
              <w:rPr>
                <w:rFonts w:ascii="Calibri" w:hAnsi="Calibri"/>
                <w:sz w:val="22"/>
              </w:rPr>
              <w:t>$181.0M</w:t>
            </w:r>
          </w:p>
        </w:tc>
        <w:tc>
          <w:tcPr>
            <w:tcW w:type="dxa" w:w="1234"/>
          </w:tcPr>
          <w:p>
            <w:r>
              <w:rPr>
                <w:rFonts w:ascii="Calibri" w:hAnsi="Calibri"/>
                <w:sz w:val="22"/>
              </w:rPr>
              <w:t>$211.7M</w:t>
            </w:r>
          </w:p>
        </w:tc>
        <w:tc>
          <w:tcPr>
            <w:tcW w:type="dxa" w:w="1234"/>
          </w:tcPr>
          <w:p>
            <w:r>
              <w:rPr>
                <w:rFonts w:ascii="Calibri" w:hAnsi="Calibri"/>
                <w:sz w:val="22"/>
              </w:rPr>
              <w:t>+16.9%</w:t>
            </w:r>
          </w:p>
        </w:tc>
        <w:tc>
          <w:tcPr>
            <w:tcW w:type="dxa" w:w="1234"/>
          </w:tcPr>
          <w:p>
            <w:r>
              <w:rPr>
                <w:rFonts w:ascii="Calibri" w:hAnsi="Calibri"/>
                <w:sz w:val="22"/>
              </w:rPr>
              <w:t>Double-digit growth (FY)</w:t>
            </w:r>
          </w:p>
        </w:tc>
        <w:tc>
          <w:tcPr>
            <w:tcW w:type="dxa" w:w="1234"/>
          </w:tcPr>
          <w:p>
            <w:r>
              <w:rPr>
                <w:rFonts w:ascii="Calibri" w:hAnsi="Calibri"/>
                <w:sz w:val="22"/>
              </w:rPr>
              <w:t>N/A</w:t>
            </w:r>
          </w:p>
        </w:tc>
      </w:tr>
      <w:tr>
        <w:tc>
          <w:tcPr>
            <w:tcW w:type="dxa" w:w="1234"/>
          </w:tcPr>
          <w:p>
            <w:r>
              <w:rPr>
                <w:rFonts w:ascii="Calibri" w:hAnsi="Calibri"/>
                <w:sz w:val="22"/>
              </w:rPr>
              <w:t>Software Revenue ($M)</w:t>
            </w:r>
          </w:p>
        </w:tc>
        <w:tc>
          <w:tcPr>
            <w:tcW w:type="dxa" w:w="1234"/>
          </w:tcPr>
          <w:p>
            <w:r>
              <w:rPr>
                <w:rFonts w:ascii="Calibri" w:hAnsi="Calibri"/>
                <w:sz w:val="22"/>
              </w:rPr>
              <w:t>$184.0M</w:t>
            </w:r>
          </w:p>
        </w:tc>
        <w:tc>
          <w:tcPr>
            <w:tcW w:type="dxa" w:w="1234"/>
          </w:tcPr>
          <w:p>
            <w:r>
              <w:rPr>
                <w:rFonts w:ascii="Calibri" w:hAnsi="Calibri"/>
                <w:sz w:val="22"/>
              </w:rPr>
              <w:t>$208.0M</w:t>
            </w:r>
          </w:p>
        </w:tc>
        <w:tc>
          <w:tcPr>
            <w:tcW w:type="dxa" w:w="1234"/>
          </w:tcPr>
          <w:p>
            <w:r>
              <w:rPr>
                <w:rFonts w:ascii="Calibri" w:hAnsi="Calibri"/>
                <w:sz w:val="22"/>
              </w:rPr>
              <w:t>$220.8M</w:t>
            </w:r>
          </w:p>
        </w:tc>
        <w:tc>
          <w:tcPr>
            <w:tcW w:type="dxa" w:w="1234"/>
          </w:tcPr>
          <w:p>
            <w:r>
              <w:rPr>
                <w:rFonts w:ascii="Calibri" w:hAnsi="Calibri"/>
                <w:sz w:val="22"/>
              </w:rPr>
              <w:t>+6.2%</w:t>
            </w:r>
          </w:p>
        </w:tc>
        <w:tc>
          <w:tcPr>
            <w:tcW w:type="dxa" w:w="1234"/>
          </w:tcPr>
          <w:p>
            <w:r>
              <w:rPr>
                <w:rFonts w:ascii="Calibri" w:hAnsi="Calibri"/>
                <w:sz w:val="22"/>
              </w:rPr>
              <w:t>Mid-single-digit growth (FY)</w:t>
            </w:r>
          </w:p>
        </w:tc>
        <w:tc>
          <w:tcPr>
            <w:tcW w:type="dxa" w:w="1234"/>
          </w:tcPr>
          <w:p>
            <w:r>
              <w:rPr>
                <w:rFonts w:ascii="Calibri" w:hAnsi="Calibri"/>
                <w:sz w:val="22"/>
              </w:rPr>
              <w:t>N/A</w:t>
            </w:r>
          </w:p>
        </w:tc>
      </w:tr>
      <w:tr>
        <w:tc>
          <w:tcPr>
            <w:tcW w:type="dxa" w:w="1234"/>
          </w:tcPr>
          <w:p>
            <w:r>
              <w:rPr>
                <w:rFonts w:ascii="Calibri" w:hAnsi="Calibri"/>
                <w:sz w:val="22"/>
              </w:rPr>
              <w:t>Software Subscription Rev. ($M)</w:t>
            </w:r>
          </w:p>
        </w:tc>
        <w:tc>
          <w:tcPr>
            <w:tcW w:type="dxa" w:w="1234"/>
          </w:tcPr>
          <w:p>
            <w:r>
              <w:rPr>
                <w:rFonts w:ascii="Calibri" w:hAnsi="Calibri"/>
                <w:sz w:val="22"/>
              </w:rPr>
              <w:t>$165.0M</w:t>
            </w:r>
          </w:p>
        </w:tc>
        <w:tc>
          <w:tcPr>
            <w:tcW w:type="dxa" w:w="1234"/>
          </w:tcPr>
          <w:p>
            <w:r>
              <w:rPr>
                <w:rFonts w:ascii="Calibri" w:hAnsi="Calibri"/>
                <w:sz w:val="22"/>
              </w:rPr>
              <w:t>$185.0M</w:t>
            </w:r>
          </w:p>
        </w:tc>
        <w:tc>
          <w:tcPr>
            <w:tcW w:type="dxa" w:w="1234"/>
          </w:tcPr>
          <w:p>
            <w:r>
              <w:rPr>
                <w:rFonts w:ascii="Calibri" w:hAnsi="Calibri"/>
                <w:sz w:val="22"/>
              </w:rPr>
              <w:t>$194.2M</w:t>
            </w:r>
          </w:p>
        </w:tc>
        <w:tc>
          <w:tcPr>
            <w:tcW w:type="dxa" w:w="1234"/>
          </w:tcPr>
          <w:p>
            <w:r>
              <w:rPr>
                <w:rFonts w:ascii="Calibri" w:hAnsi="Calibri"/>
                <w:sz w:val="22"/>
              </w:rPr>
              <w:t>+5.0%</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Services Revenue ($M)</w:t>
            </w:r>
          </w:p>
        </w:tc>
        <w:tc>
          <w:tcPr>
            <w:tcW w:type="dxa" w:w="1234"/>
          </w:tcPr>
          <w:p>
            <w:r>
              <w:rPr>
                <w:rFonts w:ascii="Calibri" w:hAnsi="Calibri"/>
                <w:sz w:val="22"/>
              </w:rPr>
              <w:t>$401.2M</w:t>
            </w:r>
          </w:p>
        </w:tc>
        <w:tc>
          <w:tcPr>
            <w:tcW w:type="dxa" w:w="1234"/>
          </w:tcPr>
          <w:p>
            <w:r>
              <w:rPr>
                <w:rFonts w:ascii="Calibri" w:hAnsi="Calibri"/>
                <w:sz w:val="22"/>
              </w:rPr>
              <w:t>$391.5M</w:t>
            </w:r>
          </w:p>
        </w:tc>
        <w:tc>
          <w:tcPr>
            <w:tcW w:type="dxa" w:w="1234"/>
          </w:tcPr>
          <w:p>
            <w:r>
              <w:rPr>
                <w:rFonts w:ascii="Calibri" w:hAnsi="Calibri"/>
                <w:sz w:val="22"/>
              </w:rPr>
              <w:t>$404.4M</w:t>
            </w:r>
          </w:p>
        </w:tc>
        <w:tc>
          <w:tcPr>
            <w:tcW w:type="dxa" w:w="1234"/>
          </w:tcPr>
          <w:p>
            <w:r>
              <w:rPr>
                <w:rFonts w:ascii="Calibri" w:hAnsi="Calibri"/>
                <w:sz w:val="22"/>
              </w:rPr>
              <w:t>+3.3%</w:t>
            </w:r>
          </w:p>
        </w:tc>
        <w:tc>
          <w:tcPr>
            <w:tcW w:type="dxa" w:w="1234"/>
          </w:tcPr>
          <w:p>
            <w:r>
              <w:rPr>
                <w:rFonts w:ascii="Calibri" w:hAnsi="Calibri"/>
                <w:sz w:val="22"/>
              </w:rPr>
              <w:t>Low-single-digit growth (FY)</w:t>
            </w:r>
          </w:p>
        </w:tc>
        <w:tc>
          <w:tcPr>
            <w:tcW w:type="dxa" w:w="1234"/>
          </w:tcPr>
          <w:p>
            <w:r>
              <w:rPr>
                <w:rFonts w:ascii="Calibri" w:hAnsi="Calibri"/>
                <w:sz w:val="22"/>
              </w:rPr>
              <w:t>N/A</w:t>
            </w:r>
          </w:p>
        </w:tc>
      </w:tr>
      <w:tr>
        <w:tc>
          <w:tcPr>
            <w:tcW w:type="dxa" w:w="1234"/>
          </w:tcPr>
          <w:p>
            <w:r>
              <w:rPr>
                <w:rFonts w:ascii="Calibri" w:hAnsi="Calibri"/>
                <w:sz w:val="22"/>
              </w:rPr>
              <w:t>Non-GAAP Gross Margin</w:t>
            </w:r>
          </w:p>
        </w:tc>
        <w:tc>
          <w:tcPr>
            <w:tcW w:type="dxa" w:w="1234"/>
          </w:tcPr>
          <w:p>
            <w:r>
              <w:rPr>
                <w:rFonts w:ascii="Calibri" w:hAnsi="Calibri"/>
                <w:sz w:val="22"/>
              </w:rPr>
              <w:t>~83.8% (est.)</w:t>
            </w:r>
          </w:p>
        </w:tc>
        <w:tc>
          <w:tcPr>
            <w:tcW w:type="dxa" w:w="1234"/>
          </w:tcPr>
          <w:p>
            <w:r>
              <w:rPr>
                <w:rFonts w:ascii="Calibri" w:hAnsi="Calibri"/>
                <w:sz w:val="22"/>
              </w:rPr>
              <w:t>~83.1%</w:t>
            </w:r>
          </w:p>
        </w:tc>
        <w:tc>
          <w:tcPr>
            <w:tcW w:type="dxa" w:w="1234"/>
          </w:tcPr>
          <w:p>
            <w:r>
              <w:rPr>
                <w:rFonts w:ascii="Calibri" w:hAnsi="Calibri"/>
                <w:sz w:val="22"/>
              </w:rPr>
              <w:t>~83.1%</w:t>
            </w:r>
          </w:p>
        </w:tc>
        <w:tc>
          <w:tcPr>
            <w:tcW w:type="dxa" w:w="1234"/>
          </w:tcPr>
          <w:p>
            <w:r>
              <w:rPr>
                <w:rFonts w:ascii="Calibri" w:hAnsi="Calibri"/>
                <w:sz w:val="22"/>
              </w:rPr>
              <w:t>~flat</w:t>
            </w:r>
          </w:p>
        </w:tc>
        <w:tc>
          <w:tcPr>
            <w:tcW w:type="dxa" w:w="1234"/>
          </w:tcPr>
          <w:p>
            <w:r>
              <w:rPr>
                <w:rFonts w:ascii="Calibri" w:hAnsi="Calibri"/>
                <w:sz w:val="22"/>
              </w:rPr>
              <w:t>82.5%–83.5%</w:t>
            </w:r>
          </w:p>
        </w:tc>
        <w:tc>
          <w:tcPr>
            <w:tcW w:type="dxa" w:w="1234"/>
          </w:tcPr>
          <w:p>
            <w:r>
              <w:rPr>
                <w:rFonts w:ascii="Calibri" w:hAnsi="Calibri"/>
                <w:sz w:val="22"/>
              </w:rPr>
              <w:t>~midpoint</w:t>
            </w:r>
          </w:p>
        </w:tc>
      </w:tr>
      <w:tr>
        <w:tc>
          <w:tcPr>
            <w:tcW w:type="dxa" w:w="1234"/>
          </w:tcPr>
          <w:p>
            <w:r>
              <w:rPr>
                <w:rFonts w:ascii="Calibri" w:hAnsi="Calibri"/>
                <w:sz w:val="22"/>
              </w:rPr>
              <w:t>Non-GAAP Operating Income ($M)</w:t>
            </w:r>
          </w:p>
        </w:tc>
        <w:tc>
          <w:tcPr>
            <w:tcW w:type="dxa" w:w="1234"/>
          </w:tcPr>
          <w:p>
            <w:r>
              <w:rPr>
                <w:rFonts w:ascii="Calibri" w:hAnsi="Calibri"/>
                <w:sz w:val="22"/>
              </w:rPr>
              <w:t>$274.1M</w:t>
            </w:r>
          </w:p>
        </w:tc>
        <w:tc>
          <w:tcPr>
            <w:tcW w:type="dxa" w:w="1234"/>
          </w:tcPr>
          <w:p>
            <w:r>
              <w:rPr>
                <w:rFonts w:ascii="Calibri" w:hAnsi="Calibri"/>
                <w:sz w:val="22"/>
              </w:rPr>
              <w:t>$267.3M</w:t>
            </w:r>
          </w:p>
        </w:tc>
        <w:tc>
          <w:tcPr>
            <w:tcW w:type="dxa" w:w="1234"/>
          </w:tcPr>
          <w:p>
            <w:r>
              <w:rPr>
                <w:rFonts w:ascii="Calibri" w:hAnsi="Calibri"/>
                <w:sz w:val="22"/>
              </w:rPr>
              <w:t>$280.4M</w:t>
            </w:r>
          </w:p>
        </w:tc>
        <w:tc>
          <w:tcPr>
            <w:tcW w:type="dxa" w:w="1234"/>
          </w:tcPr>
          <w:p>
            <w:r>
              <w:rPr>
                <w:rFonts w:ascii="Calibri" w:hAnsi="Calibri"/>
                <w:sz w:val="22"/>
              </w:rPr>
              <w:t>+4.9%</w:t>
            </w:r>
          </w:p>
        </w:tc>
        <w:tc>
          <w:tcPr>
            <w:tcW w:type="dxa" w:w="1234"/>
          </w:tcPr>
          <w:p>
            <w:r>
              <w:rPr>
                <w:rFonts w:ascii="Calibri" w:hAnsi="Calibri"/>
                <w:sz w:val="22"/>
              </w:rPr>
              <w:t>34%–35% op. margin (FY)</w:t>
            </w:r>
          </w:p>
        </w:tc>
        <w:tc>
          <w:tcPr>
            <w:tcW w:type="dxa" w:w="1234"/>
          </w:tcPr>
          <w:p>
            <w:r>
              <w:rPr>
                <w:rFonts w:ascii="Calibri" w:hAnsi="Calibri"/>
                <w:sz w:val="22"/>
              </w:rPr>
              <w:t>N/A</w:t>
            </w:r>
          </w:p>
        </w:tc>
      </w:tr>
      <w:tr>
        <w:tc>
          <w:tcPr>
            <w:tcW w:type="dxa" w:w="1234"/>
          </w:tcPr>
          <w:p>
            <w:r>
              <w:rPr>
                <w:rFonts w:ascii="Calibri" w:hAnsi="Calibri"/>
                <w:sz w:val="22"/>
              </w:rPr>
              <w:t>Non-GAAP EPS (Diluted)</w:t>
            </w:r>
          </w:p>
        </w:tc>
        <w:tc>
          <w:tcPr>
            <w:tcW w:type="dxa" w:w="1234"/>
          </w:tcPr>
          <w:p>
            <w:r>
              <w:rPr>
                <w:rFonts w:ascii="Calibri" w:hAnsi="Calibri"/>
                <w:sz w:val="22"/>
              </w:rPr>
              <w:t>$3.90</w:t>
            </w:r>
          </w:p>
        </w:tc>
        <w:tc>
          <w:tcPr>
            <w:tcW w:type="dxa" w:w="1234"/>
          </w:tcPr>
          <w:p>
            <w:r>
              <w:rPr>
                <w:rFonts w:ascii="Calibri" w:hAnsi="Calibri"/>
                <w:sz w:val="22"/>
              </w:rPr>
              <w:t>$4.16</w:t>
            </w:r>
          </w:p>
        </w:tc>
        <w:tc>
          <w:tcPr>
            <w:tcW w:type="dxa" w:w="1234"/>
          </w:tcPr>
          <w:p>
            <w:r>
              <w:rPr>
                <w:rFonts w:ascii="Calibri" w:hAnsi="Calibri"/>
                <w:sz w:val="22"/>
              </w:rPr>
              <w:t>$4.01</w:t>
            </w:r>
          </w:p>
        </w:tc>
        <w:tc>
          <w:tcPr>
            <w:tcW w:type="dxa" w:w="1234"/>
          </w:tcPr>
          <w:p>
            <w:r>
              <w:rPr>
                <w:rFonts w:ascii="Calibri" w:hAnsi="Calibri"/>
                <w:sz w:val="22"/>
              </w:rPr>
              <w:t>-3.6%</w:t>
            </w:r>
          </w:p>
        </w:tc>
        <w:tc>
          <w:tcPr>
            <w:tcW w:type="dxa" w:w="1234"/>
          </w:tcPr>
          <w:p>
            <w:r>
              <w:rPr>
                <w:rFonts w:ascii="Calibri" w:hAnsi="Calibri"/>
                <w:sz w:val="22"/>
              </w:rPr>
              <w:t>$3.91–$4.03 (mid: $3.97)</w:t>
            </w:r>
          </w:p>
        </w:tc>
        <w:tc>
          <w:tcPr>
            <w:tcW w:type="dxa" w:w="1234"/>
          </w:tcPr>
          <w:p>
            <w:r>
              <w:rPr>
                <w:rFonts w:ascii="Calibri" w:hAnsi="Calibri"/>
                <w:sz w:val="22"/>
              </w:rPr>
              <w:t>+1.0%</w:t>
            </w:r>
          </w:p>
        </w:tc>
      </w:tr>
      <w:tr>
        <w:tc>
          <w:tcPr>
            <w:tcW w:type="dxa" w:w="1234"/>
          </w:tcPr>
          <w:p>
            <w:r>
              <w:rPr>
                <w:rFonts w:ascii="Calibri" w:hAnsi="Calibri"/>
                <w:sz w:val="22"/>
              </w:rPr>
              <w:t>Free Cash Flow ($M)</w:t>
            </w:r>
          </w:p>
        </w:tc>
        <w:tc>
          <w:tcPr>
            <w:tcW w:type="dxa" w:w="1234"/>
          </w:tcPr>
          <w:p>
            <w:r>
              <w:rPr>
                <w:rFonts w:ascii="Calibri" w:hAnsi="Calibri"/>
                <w:sz w:val="22"/>
              </w:rPr>
              <w:t>$347.6M</w:t>
            </w:r>
          </w:p>
        </w:tc>
        <w:tc>
          <w:tcPr>
            <w:tcW w:type="dxa" w:w="1234"/>
          </w:tcPr>
          <w:p>
            <w:r>
              <w:rPr>
                <w:rFonts w:ascii="Calibri" w:hAnsi="Calibri"/>
                <w:sz w:val="22"/>
              </w:rPr>
              <w:t>$273.7M</w:t>
            </w:r>
          </w:p>
        </w:tc>
        <w:tc>
          <w:tcPr>
            <w:tcW w:type="dxa" w:w="1234"/>
          </w:tcPr>
          <w:p>
            <w:r>
              <w:rPr>
                <w:rFonts w:ascii="Calibri" w:hAnsi="Calibri"/>
                <w:sz w:val="22"/>
              </w:rPr>
              <w:t>$216.6M</w:t>
            </w:r>
          </w:p>
        </w:tc>
        <w:tc>
          <w:tcPr>
            <w:tcW w:type="dxa" w:w="1234"/>
          </w:tcPr>
          <w:p>
            <w:r>
              <w:rPr>
                <w:rFonts w:ascii="Calibri" w:hAnsi="Calibri"/>
                <w:sz w:val="22"/>
              </w:rPr>
              <w:t>-20.9%</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latest available. YoY change calculated vs. Q3 FY2025 actuals. Non-GAAP gross margin for Q2 FY2026 is derived from reported operating gross profit. FCF consensus implies seasonal step-down from Q2’s record $347.6M.</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Net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w:t>
            </w:r>
          </w:p>
        </w:tc>
        <w:tc>
          <w:tcPr>
            <w:tcW w:type="dxa" w:w="1728"/>
          </w:tcPr>
          <w:p>
            <w:r>
              <w:rPr>
                <w:rFonts w:ascii="Calibri" w:hAnsi="Calibri"/>
                <w:sz w:val="22"/>
              </w:rPr>
              <w:t>$695.5M</w:t>
            </w:r>
          </w:p>
        </w:tc>
        <w:tc>
          <w:tcPr>
            <w:tcW w:type="dxa" w:w="1728"/>
          </w:tcPr>
          <w:p>
            <w:r>
              <w:rPr>
                <w:rFonts w:ascii="Calibri" w:hAnsi="Calibri"/>
                <w:sz w:val="22"/>
              </w:rPr>
              <w:t>$685.6M</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Q4 FY2024</w:t>
            </w:r>
          </w:p>
        </w:tc>
        <w:tc>
          <w:tcPr>
            <w:tcW w:type="dxa" w:w="1728"/>
          </w:tcPr>
          <w:p>
            <w:r>
              <w:rPr>
                <w:rFonts w:ascii="Calibri" w:hAnsi="Calibri"/>
                <w:sz w:val="22"/>
              </w:rPr>
              <w:t>$746.7M</w:t>
            </w:r>
          </w:p>
        </w:tc>
        <w:tc>
          <w:tcPr>
            <w:tcW w:type="dxa" w:w="1728"/>
          </w:tcPr>
          <w:p>
            <w:r>
              <w:rPr>
                <w:rFonts w:ascii="Calibri" w:hAnsi="Calibri"/>
                <w:sz w:val="22"/>
              </w:rPr>
              <w:t>$730.2M</w:t>
            </w:r>
          </w:p>
        </w:tc>
        <w:tc>
          <w:tcPr>
            <w:tcW w:type="dxa" w:w="1728"/>
          </w:tcPr>
          <w:p>
            <w:r>
              <w:rPr>
                <w:rFonts w:ascii="Calibri" w:hAnsi="Calibri"/>
                <w:b/>
                <w:color w:val="30A46C"/>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Q1 FY2025</w:t>
            </w:r>
          </w:p>
        </w:tc>
        <w:tc>
          <w:tcPr>
            <w:tcW w:type="dxa" w:w="1728"/>
          </w:tcPr>
          <w:p>
            <w:r>
              <w:rPr>
                <w:rFonts w:ascii="Calibri" w:hAnsi="Calibri"/>
                <w:sz w:val="22"/>
              </w:rPr>
              <w:t>$766.5M</w:t>
            </w:r>
          </w:p>
        </w:tc>
        <w:tc>
          <w:tcPr>
            <w:tcW w:type="dxa" w:w="1728"/>
          </w:tcPr>
          <w:p>
            <w:r>
              <w:rPr>
                <w:rFonts w:ascii="Calibri" w:hAnsi="Calibri"/>
                <w:sz w:val="22"/>
              </w:rPr>
              <w:t>$715.3M</w:t>
            </w:r>
          </w:p>
        </w:tc>
        <w:tc>
          <w:tcPr>
            <w:tcW w:type="dxa" w:w="1728"/>
          </w:tcPr>
          <w:p>
            <w:r>
              <w:rPr>
                <w:rFonts w:ascii="Calibri" w:hAnsi="Calibri"/>
                <w:b/>
                <w:color w:val="30A46C"/>
                <w:sz w:val="22"/>
              </w:rPr>
              <w:t>+7.2%</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$731.1M</w:t>
            </w:r>
          </w:p>
        </w:tc>
        <w:tc>
          <w:tcPr>
            <w:tcW w:type="dxa" w:w="1728"/>
          </w:tcPr>
          <w:p>
            <w:r>
              <w:rPr>
                <w:rFonts w:ascii="Calibri" w:hAnsi="Calibri"/>
                <w:sz w:val="22"/>
              </w:rPr>
              <w:t>$719.1M</w:t>
            </w:r>
          </w:p>
        </w:tc>
        <w:tc>
          <w:tcPr>
            <w:tcW w:type="dxa" w:w="1728"/>
          </w:tcPr>
          <w:p>
            <w:r>
              <w:rPr>
                <w:rFonts w:ascii="Calibri" w:hAnsi="Calibri"/>
                <w:b/>
                <w:color w:val="30A46C"/>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$780.4M</w:t>
            </w:r>
          </w:p>
        </w:tc>
        <w:tc>
          <w:tcPr>
            <w:tcW w:type="dxa" w:w="1728"/>
          </w:tcPr>
          <w:p>
            <w:r>
              <w:rPr>
                <w:rFonts w:ascii="Calibri" w:hAnsi="Calibri"/>
                <w:sz w:val="22"/>
              </w:rPr>
              <w:t>$753.3M</w:t>
            </w:r>
          </w:p>
        </w:tc>
        <w:tc>
          <w:tcPr>
            <w:tcW w:type="dxa" w:w="1728"/>
          </w:tcPr>
          <w:p>
            <w:r>
              <w:rPr>
                <w:rFonts w:ascii="Calibri" w:hAnsi="Calibri"/>
                <w:b/>
                <w:color w:val="30A46C"/>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$810.1M</w:t>
            </w:r>
          </w:p>
        </w:tc>
        <w:tc>
          <w:tcPr>
            <w:tcW w:type="dxa" w:w="1728"/>
          </w:tcPr>
          <w:p>
            <w:r>
              <w:rPr>
                <w:rFonts w:ascii="Calibri" w:hAnsi="Calibri"/>
                <w:sz w:val="22"/>
              </w:rPr>
              <w:t>$794.1M</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$822.5M</w:t>
            </w:r>
          </w:p>
        </w:tc>
        <w:tc>
          <w:tcPr>
            <w:tcW w:type="dxa" w:w="1728"/>
          </w:tcPr>
          <w:p>
            <w:r>
              <w:rPr>
                <w:rFonts w:ascii="Calibri" w:hAnsi="Calibri"/>
                <w:sz w:val="22"/>
              </w:rPr>
              <w:t>$755.7M</w:t>
            </w:r>
          </w:p>
        </w:tc>
        <w:tc>
          <w:tcPr>
            <w:tcW w:type="dxa" w:w="1728"/>
          </w:tcPr>
          <w:p>
            <w:r>
              <w:rPr>
                <w:rFonts w:ascii="Calibri" w:hAnsi="Calibri"/>
                <w:b/>
                <w:color w:val="30A46C"/>
                <w:sz w:val="22"/>
              </w:rPr>
              <w:t>+8.8%</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$811.7M</w:t>
            </w:r>
          </w:p>
        </w:tc>
        <w:tc>
          <w:tcPr>
            <w:tcW w:type="dxa" w:w="1728"/>
          </w:tcPr>
          <w:p>
            <w:r>
              <w:rPr>
                <w:rFonts w:ascii="Calibri" w:hAnsi="Calibri"/>
                <w:sz w:val="22"/>
              </w:rPr>
              <w:t>$782.6M</w:t>
            </w:r>
          </w:p>
        </w:tc>
        <w:tc>
          <w:tcPr>
            <w:tcW w:type="dxa" w:w="1728"/>
          </w:tcPr>
          <w:p>
            <w:r>
              <w:rPr>
                <w:rFonts w:ascii="Calibri" w:hAnsi="Calibri"/>
                <w:b/>
                <w:color w:val="30A46C"/>
                <w:sz w:val="22"/>
              </w:rPr>
              <w:t>+3.7%</w:t>
            </w:r>
          </w:p>
        </w:tc>
        <w:tc>
          <w:tcPr>
            <w:tcW w:type="dxa" w:w="1728"/>
          </w:tcPr>
          <w:p>
            <w:r>
              <w:rPr>
                <w:rFonts w:ascii="Calibri" w:hAnsi="Calibri"/>
                <w:b/>
                <w:color w:val="30A46C"/>
                <w:sz w:val="22"/>
              </w:rPr>
              <w:t>Beat</w:t>
            </w:r>
          </w:p>
        </w:tc>
      </w:tr>
    </w:tbl>
    <w:p>
      <w:pPr>
        <w:pStyle w:val="Heading4"/>
      </w:pPr>
      <w:r>
        <w:rPr>
          <w:rFonts w:ascii="Calibri" w:hAnsi="Calibri"/>
          <w:b/>
          <w:color w:val="3B4259"/>
          <w:sz w:val="22"/>
        </w:rPr>
        <w:t>Top KPI #2: Non-GAAP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w:t>
            </w:r>
          </w:p>
        </w:tc>
        <w:tc>
          <w:tcPr>
            <w:tcW w:type="dxa" w:w="1728"/>
          </w:tcPr>
          <w:p>
            <w:r>
              <w:rPr>
                <w:rFonts w:ascii="Calibri" w:hAnsi="Calibri"/>
                <w:sz w:val="22"/>
              </w:rPr>
              <w:t>$3.36</w:t>
            </w:r>
          </w:p>
        </w:tc>
        <w:tc>
          <w:tcPr>
            <w:tcW w:type="dxa" w:w="1728"/>
          </w:tcPr>
          <w:p>
            <w:r>
              <w:rPr>
                <w:rFonts w:ascii="Calibri" w:hAnsi="Calibri"/>
                <w:sz w:val="22"/>
              </w:rPr>
              <w:t>$2.97</w:t>
            </w:r>
          </w:p>
        </w:tc>
        <w:tc>
          <w:tcPr>
            <w:tcW w:type="dxa" w:w="1728"/>
          </w:tcPr>
          <w:p>
            <w:r>
              <w:rPr>
                <w:rFonts w:ascii="Calibri" w:hAnsi="Calibri"/>
                <w:b/>
                <w:color w:val="30A46C"/>
                <w:sz w:val="22"/>
              </w:rPr>
              <w:t>+13.1%</w:t>
            </w:r>
          </w:p>
        </w:tc>
        <w:tc>
          <w:tcPr>
            <w:tcW w:type="dxa" w:w="1728"/>
          </w:tcPr>
          <w:p>
            <w:r>
              <w:rPr>
                <w:rFonts w:ascii="Calibri" w:hAnsi="Calibri"/>
                <w:b/>
                <w:color w:val="30A46C"/>
                <w:sz w:val="22"/>
              </w:rPr>
              <w:t>Beat</w:t>
            </w:r>
          </w:p>
        </w:tc>
      </w:tr>
      <w:tr>
        <w:tc>
          <w:tcPr>
            <w:tcW w:type="dxa" w:w="1728"/>
          </w:tcPr>
          <w:p>
            <w:r>
              <w:rPr>
                <w:rFonts w:ascii="Calibri" w:hAnsi="Calibri"/>
                <w:sz w:val="22"/>
              </w:rPr>
              <w:t>Q4 FY2024</w:t>
            </w:r>
          </w:p>
        </w:tc>
        <w:tc>
          <w:tcPr>
            <w:tcW w:type="dxa" w:w="1728"/>
          </w:tcPr>
          <w:p>
            <w:r>
              <w:rPr>
                <w:rFonts w:ascii="Calibri" w:hAnsi="Calibri"/>
                <w:sz w:val="22"/>
              </w:rPr>
              <w:t>$3.67</w:t>
            </w:r>
          </w:p>
        </w:tc>
        <w:tc>
          <w:tcPr>
            <w:tcW w:type="dxa" w:w="1728"/>
          </w:tcPr>
          <w:p>
            <w:r>
              <w:rPr>
                <w:rFonts w:ascii="Calibri" w:hAnsi="Calibri"/>
                <w:sz w:val="22"/>
              </w:rPr>
              <w:t>$3.44</w:t>
            </w:r>
          </w:p>
        </w:tc>
        <w:tc>
          <w:tcPr>
            <w:tcW w:type="dxa" w:w="1728"/>
          </w:tcPr>
          <w:p>
            <w:r>
              <w:rPr>
                <w:rFonts w:ascii="Calibri" w:hAnsi="Calibri"/>
                <w:b/>
                <w:color w:val="30A46C"/>
                <w:sz w:val="22"/>
              </w:rPr>
              <w:t>+6.7%</w:t>
            </w:r>
          </w:p>
        </w:tc>
        <w:tc>
          <w:tcPr>
            <w:tcW w:type="dxa" w:w="1728"/>
          </w:tcPr>
          <w:p>
            <w:r>
              <w:rPr>
                <w:rFonts w:ascii="Calibri" w:hAnsi="Calibri"/>
                <w:b/>
                <w:color w:val="30A46C"/>
                <w:sz w:val="22"/>
              </w:rPr>
              <w:t>Beat</w:t>
            </w:r>
          </w:p>
        </w:tc>
      </w:tr>
      <w:tr>
        <w:tc>
          <w:tcPr>
            <w:tcW w:type="dxa" w:w="1728"/>
          </w:tcPr>
          <w:p>
            <w:r>
              <w:rPr>
                <w:rFonts w:ascii="Calibri" w:hAnsi="Calibri"/>
                <w:sz w:val="22"/>
              </w:rPr>
              <w:t>Q1 FY2025</w:t>
            </w:r>
          </w:p>
        </w:tc>
        <w:tc>
          <w:tcPr>
            <w:tcW w:type="dxa" w:w="1728"/>
          </w:tcPr>
          <w:p>
            <w:r>
              <w:rPr>
                <w:rFonts w:ascii="Calibri" w:hAnsi="Calibri"/>
                <w:sz w:val="22"/>
              </w:rPr>
              <w:t>$3.84</w:t>
            </w:r>
          </w:p>
        </w:tc>
        <w:tc>
          <w:tcPr>
            <w:tcW w:type="dxa" w:w="1728"/>
          </w:tcPr>
          <w:p>
            <w:r>
              <w:rPr>
                <w:rFonts w:ascii="Calibri" w:hAnsi="Calibri"/>
                <w:sz w:val="22"/>
              </w:rPr>
              <w:t>$3.37</w:t>
            </w:r>
          </w:p>
        </w:tc>
        <w:tc>
          <w:tcPr>
            <w:tcW w:type="dxa" w:w="1728"/>
          </w:tcPr>
          <w:p>
            <w:r>
              <w:rPr>
                <w:rFonts w:ascii="Calibri" w:hAnsi="Calibri"/>
                <w:b/>
                <w:color w:val="30A46C"/>
                <w:sz w:val="22"/>
              </w:rPr>
              <w:t>+13.9%</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$3.42</w:t>
            </w:r>
          </w:p>
        </w:tc>
        <w:tc>
          <w:tcPr>
            <w:tcW w:type="dxa" w:w="1728"/>
          </w:tcPr>
          <w:p>
            <w:r>
              <w:rPr>
                <w:rFonts w:ascii="Calibri" w:hAnsi="Calibri"/>
                <w:sz w:val="22"/>
              </w:rPr>
              <w:t>$3.11</w:t>
            </w:r>
          </w:p>
        </w:tc>
        <w:tc>
          <w:tcPr>
            <w:tcW w:type="dxa" w:w="1728"/>
          </w:tcPr>
          <w:p>
            <w:r>
              <w:rPr>
                <w:rFonts w:ascii="Calibri" w:hAnsi="Calibri"/>
                <w:b/>
                <w:color w:val="30A46C"/>
                <w:sz w:val="22"/>
              </w:rPr>
              <w:t>+10.0%</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$4.16</w:t>
            </w:r>
          </w:p>
        </w:tc>
        <w:tc>
          <w:tcPr>
            <w:tcW w:type="dxa" w:w="1728"/>
          </w:tcPr>
          <w:p>
            <w:r>
              <w:rPr>
                <w:rFonts w:ascii="Calibri" w:hAnsi="Calibri"/>
                <w:sz w:val="22"/>
              </w:rPr>
              <w:t>$3.50</w:t>
            </w:r>
          </w:p>
        </w:tc>
        <w:tc>
          <w:tcPr>
            <w:tcW w:type="dxa" w:w="1728"/>
          </w:tcPr>
          <w:p>
            <w:r>
              <w:rPr>
                <w:rFonts w:ascii="Calibri" w:hAnsi="Calibri"/>
                <w:b/>
                <w:color w:val="30A46C"/>
                <w:sz w:val="22"/>
              </w:rPr>
              <w:t>+18.9%</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$4.39</w:t>
            </w:r>
          </w:p>
        </w:tc>
        <w:tc>
          <w:tcPr>
            <w:tcW w:type="dxa" w:w="1728"/>
          </w:tcPr>
          <w:p>
            <w:r>
              <w:rPr>
                <w:rFonts w:ascii="Calibri" w:hAnsi="Calibri"/>
                <w:sz w:val="22"/>
              </w:rPr>
              <w:t>$3.98</w:t>
            </w:r>
          </w:p>
        </w:tc>
        <w:tc>
          <w:tcPr>
            <w:tcW w:type="dxa" w:w="1728"/>
          </w:tcPr>
          <w:p>
            <w:r>
              <w:rPr>
                <w:rFonts w:ascii="Calibri" w:hAnsi="Calibri"/>
                <w:b/>
                <w:color w:val="30A46C"/>
                <w:sz w:val="22"/>
              </w:rPr>
              <w:t>+10.3%</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$4.45</w:t>
            </w:r>
          </w:p>
        </w:tc>
        <w:tc>
          <w:tcPr>
            <w:tcW w:type="dxa" w:w="1728"/>
          </w:tcPr>
          <w:p>
            <w:r>
              <w:rPr>
                <w:rFonts w:ascii="Calibri" w:hAnsi="Calibri"/>
                <w:sz w:val="22"/>
              </w:rPr>
              <w:t>$3.66</w:t>
            </w:r>
          </w:p>
        </w:tc>
        <w:tc>
          <w:tcPr>
            <w:tcW w:type="dxa" w:w="1728"/>
          </w:tcPr>
          <w:p>
            <w:r>
              <w:rPr>
                <w:rFonts w:ascii="Calibri" w:hAnsi="Calibri"/>
                <w:b/>
                <w:color w:val="30A46C"/>
                <w:sz w:val="22"/>
              </w:rPr>
              <w:t>+21.6%</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$3.90</w:t>
            </w:r>
          </w:p>
        </w:tc>
        <w:tc>
          <w:tcPr>
            <w:tcW w:type="dxa" w:w="1728"/>
          </w:tcPr>
          <w:p>
            <w:r>
              <w:rPr>
                <w:rFonts w:ascii="Calibri" w:hAnsi="Calibri"/>
                <w:sz w:val="22"/>
              </w:rPr>
              <w:t>$3.45</w:t>
            </w:r>
          </w:p>
        </w:tc>
        <w:tc>
          <w:tcPr>
            <w:tcW w:type="dxa" w:w="1728"/>
          </w:tcPr>
          <w:p>
            <w:r>
              <w:rPr>
                <w:rFonts w:ascii="Calibri" w:hAnsi="Calibri"/>
                <w:b/>
                <w:color w:val="30A46C"/>
                <w:sz w:val="22"/>
              </w:rPr>
              <w:t>+13.0%</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F5 has beaten consensus on both revenue and non-GAAP EPS in each of the last 8 consecutive quarters, with EPS beats averaging ~13–14% above consensus — a remarkably consistent pattern that reflects both conservative guidance and strong operational execution. The bar for Q3 FY2026 is set similarly low relative to the guidance midpoint.</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raised twice</w:t>
      </w:r>
      <w:r>
        <w:rPr>
          <w:rFonts w:ascii="Calibri" w:hAnsi="Calibri"/>
          <w:color w:val="525866"/>
          <w:sz w:val="22"/>
        </w:rPr>
        <w:t xml:space="preserve"> since the start of FY2026 and was most recently updated at the Q2 earnings call (April 28, 2026); the May 28 Investor Day reinforced the long-term framework without changing near-term numbers. Management tone is </w:t>
      </w:r>
      <w:r>
        <w:rPr>
          <w:rFonts w:ascii="Calibri" w:hAnsi="Calibri"/>
          <w:b/>
          <w:color w:val="525866"/>
          <w:sz w:val="22"/>
        </w:rPr>
        <w:t>notably confident</w:t>
      </w:r>
      <w:r>
        <w:rPr>
          <w:rFonts w:ascii="Calibri" w:hAnsi="Calibri"/>
          <w:color w:val="525866"/>
          <w:sz w:val="22"/>
        </w:rPr>
        <w:t xml:space="preserve"> — the strongest posture in at least two years — with the only cautionary note being the memory cost headwind stepping up in Q4.</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FY2026 Revenue</w:t>
            </w:r>
          </w:p>
        </w:tc>
        <w:tc>
          <w:tcPr>
            <w:tcW w:type="dxa" w:w="1728"/>
          </w:tcPr>
          <w:p>
            <w:r>
              <w:rPr>
                <w:rFonts w:ascii="Calibri" w:hAnsi="Calibri"/>
                <w:sz w:val="22"/>
              </w:rPr>
              <w:t>$820M–$840M</w:t>
            </w:r>
          </w:p>
        </w:tc>
        <w:tc>
          <w:tcPr>
            <w:tcW w:type="dxa" w:w="1728"/>
          </w:tcPr>
          <w:p>
            <w:r>
              <w:rPr>
                <w:rFonts w:ascii="Calibri" w:hAnsi="Calibri"/>
                <w:sz w:val="22"/>
              </w:rPr>
              <w:t>—</w:t>
            </w:r>
          </w:p>
        </w:tc>
        <w:tc>
          <w:tcPr>
            <w:tcW w:type="dxa" w:w="1728"/>
          </w:tcPr>
          <w:p>
            <w:r>
              <w:rPr>
                <w:rFonts w:ascii="Calibri" w:hAnsi="Calibri"/>
                <w:sz w:val="22"/>
              </w:rPr>
              <w:t>$835.0M</w:t>
            </w:r>
          </w:p>
        </w:tc>
        <w:tc>
          <w:tcPr>
            <w:tcW w:type="dxa" w:w="1728"/>
          </w:tcPr>
          <w:p>
            <w:r>
              <w:rPr>
                <w:rFonts w:ascii="Calibri" w:hAnsi="Calibri"/>
                <w:sz w:val="22"/>
              </w:rPr>
              <w:t>Unchanged since Q2 call; consensus near midpoint</w:t>
            </w:r>
          </w:p>
        </w:tc>
      </w:tr>
      <w:tr>
        <w:tc>
          <w:tcPr>
            <w:tcW w:type="dxa" w:w="1728"/>
          </w:tcPr>
          <w:p>
            <w:r>
              <w:rPr>
                <w:rFonts w:ascii="Calibri" w:hAnsi="Calibri"/>
                <w:sz w:val="22"/>
              </w:rPr>
              <w:t>Q3 FY2026 Non-GAAP EPS</w:t>
            </w:r>
          </w:p>
        </w:tc>
        <w:tc>
          <w:tcPr>
            <w:tcW w:type="dxa" w:w="1728"/>
          </w:tcPr>
          <w:p>
            <w:r>
              <w:rPr>
                <w:rFonts w:ascii="Calibri" w:hAnsi="Calibri"/>
                <w:sz w:val="22"/>
              </w:rPr>
              <w:t>$3.91–$4.03</w:t>
            </w:r>
          </w:p>
        </w:tc>
        <w:tc>
          <w:tcPr>
            <w:tcW w:type="dxa" w:w="1728"/>
          </w:tcPr>
          <w:p>
            <w:r>
              <w:rPr>
                <w:rFonts w:ascii="Calibri" w:hAnsi="Calibri"/>
                <w:sz w:val="22"/>
              </w:rPr>
              <w:t>—</w:t>
            </w:r>
          </w:p>
        </w:tc>
        <w:tc>
          <w:tcPr>
            <w:tcW w:type="dxa" w:w="1728"/>
          </w:tcPr>
          <w:p>
            <w:r>
              <w:rPr>
                <w:rFonts w:ascii="Calibri" w:hAnsi="Calibri"/>
                <w:sz w:val="22"/>
              </w:rPr>
              <w:t>$4.01</w:t>
            </w:r>
          </w:p>
        </w:tc>
        <w:tc>
          <w:tcPr>
            <w:tcW w:type="dxa" w:w="1728"/>
          </w:tcPr>
          <w:p>
            <w:r>
              <w:rPr>
                <w:rFonts w:ascii="Calibri" w:hAnsi="Calibri"/>
                <w:sz w:val="22"/>
              </w:rPr>
              <w:t>Unchanged; consensus near high end of range</w:t>
            </w:r>
          </w:p>
        </w:tc>
      </w:tr>
      <w:tr>
        <w:tc>
          <w:tcPr>
            <w:tcW w:type="dxa" w:w="1728"/>
          </w:tcPr>
          <w:p>
            <w:r>
              <w:rPr>
                <w:rFonts w:ascii="Calibri" w:hAnsi="Calibri"/>
                <w:sz w:val="22"/>
              </w:rPr>
              <w:t>Q3 FY2026 Non-GAAP Gross Margin</w:t>
            </w:r>
          </w:p>
        </w:tc>
        <w:tc>
          <w:tcPr>
            <w:tcW w:type="dxa" w:w="1728"/>
          </w:tcPr>
          <w:p>
            <w:r>
              <w:rPr>
                <w:rFonts w:ascii="Calibri" w:hAnsi="Calibri"/>
                <w:sz w:val="22"/>
              </w:rPr>
              <w:t>82.5%–83.5%</w:t>
            </w:r>
          </w:p>
        </w:tc>
        <w:tc>
          <w:tcPr>
            <w:tcW w:type="dxa" w:w="1728"/>
          </w:tcPr>
          <w:p>
            <w:r>
              <w:rPr>
                <w:rFonts w:ascii="Calibri" w:hAnsi="Calibri"/>
                <w:sz w:val="22"/>
              </w:rPr>
              <w:t>—</w:t>
            </w:r>
          </w:p>
        </w:tc>
        <w:tc>
          <w:tcPr>
            <w:tcW w:type="dxa" w:w="1728"/>
          </w:tcPr>
          <w:p>
            <w:r>
              <w:rPr>
                <w:rFonts w:ascii="Calibri" w:hAnsi="Calibri"/>
                <w:sz w:val="22"/>
              </w:rPr>
              <w:t>~83.1%</w:t>
            </w:r>
          </w:p>
        </w:tc>
        <w:tc>
          <w:tcPr>
            <w:tcW w:type="dxa" w:w="1728"/>
          </w:tcPr>
          <w:p>
            <w:r>
              <w:rPr>
                <w:rFonts w:ascii="Calibri" w:hAnsi="Calibri"/>
                <w:sz w:val="22"/>
              </w:rPr>
              <w:t>Unchanged; memory cost step-down flagged for Q4, not Q3</w:t>
            </w:r>
          </w:p>
        </w:tc>
      </w:tr>
      <w:tr>
        <w:tc>
          <w:tcPr>
            <w:tcW w:type="dxa" w:w="1728"/>
          </w:tcPr>
          <w:p>
            <w:r>
              <w:rPr>
                <w:rFonts w:ascii="Calibri" w:hAnsi="Calibri"/>
                <w:sz w:val="22"/>
              </w:rPr>
              <w:t>Q3 FY2026 Non-GAAP OpEx</w:t>
            </w:r>
          </w:p>
        </w:tc>
        <w:tc>
          <w:tcPr>
            <w:tcW w:type="dxa" w:w="1728"/>
          </w:tcPr>
          <w:p>
            <w:r>
              <w:rPr>
                <w:rFonts w:ascii="Calibri" w:hAnsi="Calibri"/>
                <w:sz w:val="22"/>
              </w:rPr>
              <w:t>$406M–$418M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FY2026 Revenue Growth</w:t>
            </w:r>
          </w:p>
        </w:tc>
        <w:tc>
          <w:tcPr>
            <w:tcW w:type="dxa" w:w="1728"/>
          </w:tcPr>
          <w:p>
            <w:r>
              <w:rPr>
                <w:rFonts w:ascii="Calibri" w:hAnsi="Calibri"/>
                <w:sz w:val="22"/>
              </w:rPr>
              <w:t>7%–8% (raised from 5%–6% at Q1)</w:t>
            </w:r>
          </w:p>
        </w:tc>
        <w:tc>
          <w:tcPr>
            <w:tcW w:type="dxa" w:w="1728"/>
          </w:tcPr>
          <w:p>
            <w:r>
              <w:rPr>
                <w:rFonts w:ascii="Calibri" w:hAnsi="Calibri"/>
                <w:sz w:val="22"/>
              </w:rPr>
              <w:t>—</w:t>
            </w:r>
          </w:p>
        </w:tc>
        <w:tc>
          <w:tcPr>
            <w:tcW w:type="dxa" w:w="1728"/>
          </w:tcPr>
          <w:p>
            <w:r>
              <w:rPr>
                <w:rFonts w:ascii="Calibri" w:hAnsi="Calibri"/>
                <w:sz w:val="22"/>
              </w:rPr>
              <w:t>~7.5% implied by $3.33B consensus</w:t>
            </w:r>
          </w:p>
        </w:tc>
        <w:tc>
          <w:tcPr>
            <w:tcW w:type="dxa" w:w="1728"/>
          </w:tcPr>
          <w:p>
            <w:r>
              <w:rPr>
                <w:rFonts w:ascii="Calibri" w:hAnsi="Calibri"/>
                <w:sz w:val="22"/>
              </w:rPr>
              <w:t>↑ Raised at Q2 earnings Apr 28; Investor Day May 28 reaffirmed upper-single-digit CAGR through FY2029</w:t>
            </w:r>
          </w:p>
        </w:tc>
      </w:tr>
      <w:tr>
        <w:tc>
          <w:tcPr>
            <w:tcW w:type="dxa" w:w="1728"/>
          </w:tcPr>
          <w:p>
            <w:r>
              <w:rPr>
                <w:rFonts w:ascii="Calibri" w:hAnsi="Calibri"/>
                <w:sz w:val="22"/>
              </w:rPr>
              <w:t>FY2026 Non-GAAP EPS</w:t>
            </w:r>
          </w:p>
        </w:tc>
        <w:tc>
          <w:tcPr>
            <w:tcW w:type="dxa" w:w="1728"/>
          </w:tcPr>
          <w:p>
            <w:r>
              <w:rPr>
                <w:rFonts w:ascii="Calibri" w:hAnsi="Calibri"/>
                <w:sz w:val="22"/>
              </w:rPr>
              <w:t>$16.25–$16.55 (raised from $15.65–$16.05 at Q1)</w:t>
            </w:r>
          </w:p>
        </w:tc>
        <w:tc>
          <w:tcPr>
            <w:tcW w:type="dxa" w:w="1728"/>
          </w:tcPr>
          <w:p>
            <w:r>
              <w:rPr>
                <w:rFonts w:ascii="Calibri" w:hAnsi="Calibri"/>
                <w:sz w:val="22"/>
              </w:rPr>
              <w:t>—</w:t>
            </w:r>
          </w:p>
        </w:tc>
        <w:tc>
          <w:tcPr>
            <w:tcW w:type="dxa" w:w="1728"/>
          </w:tcPr>
          <w:p>
            <w:r>
              <w:rPr>
                <w:rFonts w:ascii="Calibri" w:hAnsi="Calibri"/>
                <w:sz w:val="22"/>
              </w:rPr>
              <w:t>$16.51</w:t>
            </w:r>
          </w:p>
        </w:tc>
        <w:tc>
          <w:tcPr>
            <w:tcW w:type="dxa" w:w="1728"/>
          </w:tcPr>
          <w:p>
            <w:r>
              <w:rPr>
                <w:rFonts w:ascii="Calibri" w:hAnsi="Calibri"/>
                <w:sz w:val="22"/>
              </w:rPr>
              <w:t>↑ Raised at Q2 earnings Apr 28; consensus near midpoint of range</w:t>
            </w:r>
          </w:p>
        </w:tc>
      </w:tr>
      <w:tr>
        <w:tc>
          <w:tcPr>
            <w:tcW w:type="dxa" w:w="1728"/>
          </w:tcPr>
          <w:p>
            <w:r>
              <w:rPr>
                <w:rFonts w:ascii="Calibri" w:hAnsi="Calibri"/>
                <w:sz w:val="22"/>
              </w:rPr>
              <w:t>FY2026 Non-GAAP Gross Margin</w:t>
            </w:r>
          </w:p>
        </w:tc>
        <w:tc>
          <w:tcPr>
            <w:tcW w:type="dxa" w:w="1728"/>
          </w:tcPr>
          <w:p>
            <w:r>
              <w:rPr>
                <w:rFonts w:ascii="Calibri" w:hAnsi="Calibri"/>
                <w:sz w:val="22"/>
              </w:rPr>
              <w:t>82.5%–83.5%</w:t>
            </w:r>
          </w:p>
        </w:tc>
        <w:tc>
          <w:tcPr>
            <w:tcW w:type="dxa" w:w="1728"/>
          </w:tcPr>
          <w:p>
            <w:r>
              <w:rPr>
                <w:rFonts w:ascii="Calibri" w:hAnsi="Calibri"/>
                <w:sz w:val="22"/>
              </w:rPr>
              <w:t>—</w:t>
            </w:r>
          </w:p>
        </w:tc>
        <w:tc>
          <w:tcPr>
            <w:tcW w:type="dxa" w:w="1728"/>
          </w:tcPr>
          <w:p>
            <w:r>
              <w:rPr>
                <w:rFonts w:ascii="Calibri" w:hAnsi="Calibri"/>
                <w:sz w:val="22"/>
              </w:rPr>
              <w:t>~83.2%</w:t>
            </w:r>
          </w:p>
        </w:tc>
        <w:tc>
          <w:tcPr>
            <w:tcW w:type="dxa" w:w="1728"/>
          </w:tcPr>
          <w:p>
            <w:r>
              <w:rPr>
                <w:rFonts w:ascii="Calibri" w:hAnsi="Calibri"/>
                <w:sz w:val="22"/>
              </w:rPr>
              <w:t>Unchanged; memory/SSD cost headwind flagged for Q4 step-down, persisting through FY2027</w:t>
            </w:r>
          </w:p>
        </w:tc>
      </w:tr>
      <w:tr>
        <w:tc>
          <w:tcPr>
            <w:tcW w:type="dxa" w:w="1728"/>
          </w:tcPr>
          <w:p>
            <w:r>
              <w:rPr>
                <w:rFonts w:ascii="Calibri" w:hAnsi="Calibri"/>
                <w:sz w:val="22"/>
              </w:rPr>
              <w:t>FY2026 Non-GAAP Operating Margin</w:t>
            </w:r>
          </w:p>
        </w:tc>
        <w:tc>
          <w:tcPr>
            <w:tcW w:type="dxa" w:w="1728"/>
          </w:tcPr>
          <w:p>
            <w:r>
              <w:rPr>
                <w:rFonts w:ascii="Calibri" w:hAnsi="Calibri"/>
                <w:sz w:val="22"/>
              </w:rPr>
              <w:t>34%–35%</w:t>
            </w:r>
          </w:p>
        </w:tc>
        <w:tc>
          <w:tcPr>
            <w:tcW w:type="dxa" w:w="1728"/>
          </w:tcPr>
          <w:p>
            <w:r>
              <w:rPr>
                <w:rFonts w:ascii="Calibri" w:hAnsi="Calibri"/>
                <w:sz w:val="22"/>
              </w:rPr>
              <w:t>—</w:t>
            </w:r>
          </w:p>
        </w:tc>
        <w:tc>
          <w:tcPr>
            <w:tcW w:type="dxa" w:w="1728"/>
          </w:tcPr>
          <w:p>
            <w:r>
              <w:rPr>
                <w:rFonts w:ascii="Calibri" w:hAnsi="Calibri"/>
                <w:sz w:val="22"/>
              </w:rPr>
              <w:t>~34.7%</w:t>
            </w:r>
          </w:p>
        </w:tc>
        <w:tc>
          <w:tcPr>
            <w:tcW w:type="dxa" w:w="1728"/>
          </w:tcPr>
          <w:p>
            <w:r>
              <w:rPr>
                <w:rFonts w:ascii="Calibri" w:hAnsi="Calibri"/>
                <w:sz w:val="22"/>
              </w:rPr>
              <w:t>Unchanged; Investor Day guided mid-to-upper 30s by FY2029</w:t>
            </w:r>
          </w:p>
        </w:tc>
      </w:tr>
      <w:tr>
        <w:tc>
          <w:tcPr>
            <w:tcW w:type="dxa" w:w="1728"/>
          </w:tcPr>
          <w:p>
            <w:r>
              <w:rPr>
                <w:rFonts w:ascii="Calibri" w:hAnsi="Calibri"/>
                <w:sz w:val="22"/>
              </w:rPr>
              <w:t>FY2026 Software Revenue Growth</w:t>
            </w:r>
          </w:p>
        </w:tc>
        <w:tc>
          <w:tcPr>
            <w:tcW w:type="dxa" w:w="1728"/>
          </w:tcPr>
          <w:p>
            <w:r>
              <w:rPr>
                <w:rFonts w:ascii="Calibri" w:hAnsi="Calibri"/>
                <w:sz w:val="22"/>
              </w:rPr>
              <w:t>Mid-single-digit</w:t>
            </w:r>
          </w:p>
        </w:tc>
        <w:tc>
          <w:tcPr>
            <w:tcW w:type="dxa" w:w="1728"/>
          </w:tcPr>
          <w:p>
            <w:r>
              <w:rPr>
                <w:rFonts w:ascii="Calibri" w:hAnsi="Calibri"/>
                <w:sz w:val="22"/>
              </w:rPr>
              <w:t>—</w:t>
            </w:r>
          </w:p>
        </w:tc>
        <w:tc>
          <w:tcPr>
            <w:tcW w:type="dxa" w:w="1728"/>
          </w:tcPr>
          <w:p>
            <w:r>
              <w:rPr>
                <w:rFonts w:ascii="Calibri" w:hAnsi="Calibri"/>
                <w:sz w:val="22"/>
              </w:rPr>
              <w:t>~5.5% implied</w:t>
            </w:r>
          </w:p>
        </w:tc>
        <w:tc>
          <w:tcPr>
            <w:tcW w:type="dxa" w:w="1728"/>
          </w:tcPr>
          <w:p>
            <w:r>
              <w:rPr>
                <w:rFonts w:ascii="Calibri" w:hAnsi="Calibri"/>
                <w:sz w:val="22"/>
              </w:rPr>
              <w:t>Unchanged; FY2027 inflection to double-digit growth guided at Investor Day</w:t>
            </w:r>
          </w:p>
        </w:tc>
      </w:tr>
      <w:tr>
        <w:tc>
          <w:tcPr>
            <w:tcW w:type="dxa" w:w="1728"/>
          </w:tcPr>
          <w:p>
            <w:r>
              <w:rPr>
                <w:rFonts w:ascii="Calibri" w:hAnsi="Calibri"/>
                <w:sz w:val="22"/>
              </w:rPr>
              <w:t>FY2026 Systems Revenue Growth</w:t>
            </w:r>
          </w:p>
        </w:tc>
        <w:tc>
          <w:tcPr>
            <w:tcW w:type="dxa" w:w="1728"/>
          </w:tcPr>
          <w:p>
            <w:r>
              <w:rPr>
                <w:rFonts w:ascii="Calibri" w:hAnsi="Calibri"/>
                <w:sz w:val="22"/>
              </w:rPr>
              <w:t>Double-digit</w:t>
            </w:r>
          </w:p>
        </w:tc>
        <w:tc>
          <w:tcPr>
            <w:tcW w:type="dxa" w:w="1728"/>
          </w:tcPr>
          <w:p>
            <w:r>
              <w:rPr>
                <w:rFonts w:ascii="Calibri" w:hAnsi="Calibri"/>
                <w:sz w:val="22"/>
              </w:rPr>
              <w:t>—</w:t>
            </w:r>
          </w:p>
        </w:tc>
        <w:tc>
          <w:tcPr>
            <w:tcW w:type="dxa" w:w="1728"/>
          </w:tcPr>
          <w:p>
            <w:r>
              <w:rPr>
                <w:rFonts w:ascii="Calibri" w:hAnsi="Calibri"/>
                <w:sz w:val="22"/>
              </w:rPr>
              <w:t>~17% implied</w:t>
            </w:r>
          </w:p>
        </w:tc>
        <w:tc>
          <w:tcPr>
            <w:tcW w:type="dxa" w:w="1728"/>
          </w:tcPr>
          <w:p>
            <w:r>
              <w:rPr>
                <w:rFonts w:ascii="Calibri" w:hAnsi="Calibri"/>
                <w:sz w:val="22"/>
              </w:rPr>
              <w:t>Unchanged; Investor Day guided mid-single-digit sustainable growth through FY2029</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w:t>
      </w:r>
      <w:r>
        <w:rPr>
          <w:rFonts w:ascii="Calibri" w:hAnsi="Calibri"/>
          <w:b/>
          <w:color w:val="525866"/>
          <w:sz w:val="22"/>
        </w:rPr>
        <w:t>sharply higher</w:t>
      </w:r>
      <w:r>
        <w:rPr>
          <w:rFonts w:ascii="Calibri" w:hAnsi="Calibri"/>
          <w:color w:val="525866"/>
          <w:sz w:val="22"/>
        </w:rPr>
        <w:t xml:space="preserve"> since the Q2 print — particularly for FY2026 EPS — tracking well above the post-Q1 baseline and in line with the raised guidance corridor. The gap between current consensus and guidance midpoints is narrow, suggesting estimates are well-calibrated and the risk is asymmetric to the upside if systems momentum continues.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Mid</w:t>
            </w:r>
          </w:p>
        </w:tc>
      </w:tr>
      <w:tr>
        <w:tc>
          <w:tcPr>
            <w:tcW w:type="dxa" w:w="1080"/>
          </w:tcPr>
          <w:p>
            <w:r>
              <w:rPr>
                <w:rFonts w:ascii="Calibri" w:hAnsi="Calibri"/>
                <w:sz w:val="22"/>
              </w:rPr>
              <w:t>Net Revenue — Q3 FY2026</w:t>
            </w:r>
          </w:p>
        </w:tc>
        <w:tc>
          <w:tcPr>
            <w:tcW w:type="dxa" w:w="1080"/>
          </w:tcPr>
          <w:p>
            <w:r>
              <w:rPr>
                <w:rFonts w:ascii="Calibri" w:hAnsi="Calibri"/>
                <w:sz w:val="22"/>
              </w:rPr>
              <w:t>$835.2M</w:t>
            </w:r>
          </w:p>
        </w:tc>
        <w:tc>
          <w:tcPr>
            <w:tcW w:type="dxa" w:w="1080"/>
          </w:tcPr>
          <w:p>
            <w:r>
              <w:rPr>
                <w:rFonts w:ascii="Calibri" w:hAnsi="Calibri"/>
                <w:sz w:val="22"/>
              </w:rPr>
              <w:t>$835.0M</w:t>
            </w:r>
          </w:p>
        </w:tc>
        <w:tc>
          <w:tcPr>
            <w:tcW w:type="dxa" w:w="1080"/>
          </w:tcPr>
          <w:p>
            <w:r>
              <w:rPr>
                <w:rFonts w:ascii="Calibri" w:hAnsi="Calibri"/>
                <w:sz w:val="22"/>
              </w:rPr>
              <w:t>~0.0%</w:t>
            </w:r>
          </w:p>
        </w:tc>
        <w:tc>
          <w:tcPr>
            <w:tcW w:type="dxa" w:w="1080"/>
          </w:tcPr>
          <w:p>
            <w:r>
              <w:rPr>
                <w:rFonts w:ascii="Calibri" w:hAnsi="Calibri"/>
                <w:sz w:val="22"/>
              </w:rPr>
              <w:t>$820–$840M</w:t>
            </w:r>
          </w:p>
        </w:tc>
        <w:tc>
          <w:tcPr>
            <w:tcW w:type="dxa" w:w="1080"/>
          </w:tcPr>
          <w:p>
            <w:r>
              <w:rPr>
                <w:rFonts w:ascii="Calibri" w:hAnsi="Calibri"/>
                <w:sz w:val="22"/>
              </w:rPr>
              <w:t>$820–$840M</w:t>
            </w:r>
          </w:p>
        </w:tc>
        <w:tc>
          <w:tcPr>
            <w:tcW w:type="dxa" w:w="1080"/>
          </w:tcPr>
          <w:p>
            <w:r>
              <w:rPr>
                <w:rFonts w:ascii="Calibri" w:hAnsi="Calibri"/>
                <w:sz w:val="22"/>
              </w:rPr>
              <w:t>Unchanged</w:t>
            </w:r>
          </w:p>
        </w:tc>
        <w:tc>
          <w:tcPr>
            <w:tcW w:type="dxa" w:w="1080"/>
          </w:tcPr>
          <w:p>
            <w:r>
              <w:rPr>
                <w:rFonts w:ascii="Calibri" w:hAnsi="Calibri"/>
                <w:sz w:val="22"/>
              </w:rPr>
              <w:t>+0.6%</w:t>
            </w:r>
          </w:p>
        </w:tc>
      </w:tr>
      <w:tr>
        <w:tc>
          <w:tcPr>
            <w:tcW w:type="dxa" w:w="1080"/>
          </w:tcPr>
          <w:p>
            <w:r>
              <w:rPr>
                <w:rFonts w:ascii="Calibri" w:hAnsi="Calibri"/>
                <w:sz w:val="22"/>
              </w:rPr>
              <w:t>Non-GAAP EPS — Q3 FY2026</w:t>
            </w:r>
          </w:p>
        </w:tc>
        <w:tc>
          <w:tcPr>
            <w:tcW w:type="dxa" w:w="1080"/>
          </w:tcPr>
          <w:p>
            <w:r>
              <w:rPr>
                <w:rFonts w:ascii="Calibri" w:hAnsi="Calibri"/>
                <w:sz w:val="22"/>
              </w:rPr>
              <w:t>$4.01</w:t>
            </w:r>
          </w:p>
        </w:tc>
        <w:tc>
          <w:tcPr>
            <w:tcW w:type="dxa" w:w="1080"/>
          </w:tcPr>
          <w:p>
            <w:r>
              <w:rPr>
                <w:rFonts w:ascii="Calibri" w:hAnsi="Calibri"/>
                <w:sz w:val="22"/>
              </w:rPr>
              <w:t>$4.01</w:t>
            </w:r>
          </w:p>
        </w:tc>
        <w:tc>
          <w:tcPr>
            <w:tcW w:type="dxa" w:w="1080"/>
          </w:tcPr>
          <w:p>
            <w:r>
              <w:rPr>
                <w:rFonts w:ascii="Calibri" w:hAnsi="Calibri"/>
                <w:sz w:val="22"/>
              </w:rPr>
              <w:t>~0.0%</w:t>
            </w:r>
          </w:p>
        </w:tc>
        <w:tc>
          <w:tcPr>
            <w:tcW w:type="dxa" w:w="1080"/>
          </w:tcPr>
          <w:p>
            <w:r>
              <w:rPr>
                <w:rFonts w:ascii="Calibri" w:hAnsi="Calibri"/>
                <w:sz w:val="22"/>
              </w:rPr>
              <w:t>$3.91–$4.03</w:t>
            </w:r>
          </w:p>
        </w:tc>
        <w:tc>
          <w:tcPr>
            <w:tcW w:type="dxa" w:w="1080"/>
          </w:tcPr>
          <w:p>
            <w:r>
              <w:rPr>
                <w:rFonts w:ascii="Calibri" w:hAnsi="Calibri"/>
                <w:sz w:val="22"/>
              </w:rPr>
              <w:t>$3.91–$4.03</w:t>
            </w:r>
          </w:p>
        </w:tc>
        <w:tc>
          <w:tcPr>
            <w:tcW w:type="dxa" w:w="1080"/>
          </w:tcPr>
          <w:p>
            <w:r>
              <w:rPr>
                <w:rFonts w:ascii="Calibri" w:hAnsi="Calibri"/>
                <w:sz w:val="22"/>
              </w:rPr>
              <w:t>Unchanged</w:t>
            </w:r>
          </w:p>
        </w:tc>
        <w:tc>
          <w:tcPr>
            <w:tcW w:type="dxa" w:w="1080"/>
          </w:tcPr>
          <w:p>
            <w:r>
              <w:rPr>
                <w:rFonts w:ascii="Calibri" w:hAnsi="Calibri"/>
                <w:sz w:val="22"/>
              </w:rPr>
              <w:t>+1.0%</w:t>
            </w:r>
          </w:p>
        </w:tc>
      </w:tr>
      <w:tr>
        <w:tc>
          <w:tcPr>
            <w:tcW w:type="dxa" w:w="1080"/>
          </w:tcPr>
          <w:p>
            <w:r>
              <w:rPr>
                <w:rFonts w:ascii="Calibri" w:hAnsi="Calibri"/>
                <w:sz w:val="22"/>
              </w:rPr>
              <w:t>Systems Revenue — Q3 FY2026</w:t>
            </w:r>
          </w:p>
        </w:tc>
        <w:tc>
          <w:tcPr>
            <w:tcW w:type="dxa" w:w="1080"/>
          </w:tcPr>
          <w:p>
            <w:r>
              <w:rPr>
                <w:rFonts w:ascii="Calibri" w:hAnsi="Calibri"/>
                <w:sz w:val="22"/>
              </w:rPr>
              <w:t>$210.3M</w:t>
            </w:r>
          </w:p>
        </w:tc>
        <w:tc>
          <w:tcPr>
            <w:tcW w:type="dxa" w:w="1080"/>
          </w:tcPr>
          <w:p>
            <w:r>
              <w:rPr>
                <w:rFonts w:ascii="Calibri" w:hAnsi="Calibri"/>
                <w:sz w:val="22"/>
              </w:rPr>
              <w:t>$211.7M</w:t>
            </w:r>
          </w:p>
        </w:tc>
        <w:tc>
          <w:tcPr>
            <w:tcW w:type="dxa" w:w="1080"/>
          </w:tcPr>
          <w:p>
            <w:r>
              <w:rPr>
                <w:rFonts w:ascii="Calibri" w:hAnsi="Calibri"/>
                <w:sz w:val="22"/>
              </w:rPr>
              <w:t>+0.7%</w:t>
            </w:r>
          </w:p>
        </w:tc>
        <w:tc>
          <w:tcPr>
            <w:tcW w:type="dxa" w:w="1080"/>
          </w:tcPr>
          <w:p>
            <w:r>
              <w:rPr>
                <w:rFonts w:ascii="Calibri" w:hAnsi="Calibri"/>
                <w:sz w:val="22"/>
              </w:rPr>
              <w:t>Double-digit growth (FY)</w:t>
            </w:r>
          </w:p>
        </w:tc>
        <w:tc>
          <w:tcPr>
            <w:tcW w:type="dxa" w:w="1080"/>
          </w:tcPr>
          <w:p>
            <w:r>
              <w:rPr>
                <w:rFonts w:ascii="Calibri" w:hAnsi="Calibri"/>
                <w:sz w:val="22"/>
              </w:rPr>
              <w:t>Double-digit growth (FY)</w:t>
            </w:r>
          </w:p>
        </w:tc>
        <w:tc>
          <w:tcPr>
            <w:tcW w:type="dxa" w:w="1080"/>
          </w:tcPr>
          <w:p>
            <w:r>
              <w:rPr>
                <w:rFonts w:ascii="Calibri" w:hAnsi="Calibri"/>
                <w:sz w:val="22"/>
              </w:rPr>
              <w:t>Unchanged</w:t>
            </w:r>
          </w:p>
        </w:tc>
        <w:tc>
          <w:tcPr>
            <w:tcW w:type="dxa" w:w="1080"/>
          </w:tcPr>
          <w:p>
            <w:r>
              <w:rPr>
                <w:rFonts w:ascii="Calibri" w:hAnsi="Calibri"/>
                <w:sz w:val="22"/>
              </w:rPr>
              <w:t>N/A</w:t>
            </w:r>
          </w:p>
        </w:tc>
      </w:tr>
      <w:tr>
        <w:tc>
          <w:tcPr>
            <w:tcW w:type="dxa" w:w="1080"/>
          </w:tcPr>
          <w:p>
            <w:r>
              <w:rPr>
                <w:rFonts w:ascii="Calibri" w:hAnsi="Calibri"/>
                <w:sz w:val="22"/>
              </w:rPr>
              <w:t>Software Revenue — Q3 FY2026</w:t>
            </w:r>
          </w:p>
        </w:tc>
        <w:tc>
          <w:tcPr>
            <w:tcW w:type="dxa" w:w="1080"/>
          </w:tcPr>
          <w:p>
            <w:r>
              <w:rPr>
                <w:rFonts w:ascii="Calibri" w:hAnsi="Calibri"/>
                <w:sz w:val="22"/>
              </w:rPr>
              <w:t>$222.4M</w:t>
            </w:r>
          </w:p>
        </w:tc>
        <w:tc>
          <w:tcPr>
            <w:tcW w:type="dxa" w:w="1080"/>
          </w:tcPr>
          <w:p>
            <w:r>
              <w:rPr>
                <w:rFonts w:ascii="Calibri" w:hAnsi="Calibri"/>
                <w:sz w:val="22"/>
              </w:rPr>
              <w:t>$220.8M</w:t>
            </w:r>
          </w:p>
        </w:tc>
        <w:tc>
          <w:tcPr>
            <w:tcW w:type="dxa" w:w="1080"/>
          </w:tcPr>
          <w:p>
            <w:r>
              <w:rPr>
                <w:rFonts w:ascii="Calibri" w:hAnsi="Calibri"/>
                <w:sz w:val="22"/>
              </w:rPr>
              <w:t>-0.7%</w:t>
            </w:r>
          </w:p>
        </w:tc>
        <w:tc>
          <w:tcPr>
            <w:tcW w:type="dxa" w:w="1080"/>
          </w:tcPr>
          <w:p>
            <w:r>
              <w:rPr>
                <w:rFonts w:ascii="Calibri" w:hAnsi="Calibri"/>
                <w:sz w:val="22"/>
              </w:rPr>
              <w:t>Mid-single-digit growth (FY)</w:t>
            </w:r>
          </w:p>
        </w:tc>
        <w:tc>
          <w:tcPr>
            <w:tcW w:type="dxa" w:w="1080"/>
          </w:tcPr>
          <w:p>
            <w:r>
              <w:rPr>
                <w:rFonts w:ascii="Calibri" w:hAnsi="Calibri"/>
                <w:sz w:val="22"/>
              </w:rPr>
              <w:t>Mid-single-digit growth (FY)</w:t>
            </w:r>
          </w:p>
        </w:tc>
        <w:tc>
          <w:tcPr>
            <w:tcW w:type="dxa" w:w="1080"/>
          </w:tcPr>
          <w:p>
            <w:r>
              <w:rPr>
                <w:rFonts w:ascii="Calibri" w:hAnsi="Calibri"/>
                <w:sz w:val="22"/>
              </w:rPr>
              <w:t>Unchanged</w:t>
            </w:r>
          </w:p>
        </w:tc>
        <w:tc>
          <w:tcPr>
            <w:tcW w:type="dxa" w:w="1080"/>
          </w:tcPr>
          <w:p>
            <w:r>
              <w:rPr>
                <w:rFonts w:ascii="Calibri" w:hAnsi="Calibri"/>
                <w:sz w:val="22"/>
              </w:rPr>
              <w:t>N/A</w:t>
            </w:r>
          </w:p>
        </w:tc>
      </w:tr>
      <w:tr>
        <w:tc>
          <w:tcPr>
            <w:tcW w:type="dxa" w:w="1080"/>
          </w:tcPr>
          <w:p>
            <w:r>
              <w:rPr>
                <w:rFonts w:ascii="Calibri" w:hAnsi="Calibri"/>
                <w:sz w:val="22"/>
              </w:rPr>
              <w:t>Net Revenue — FY2026</w:t>
            </w:r>
          </w:p>
        </w:tc>
        <w:tc>
          <w:tcPr>
            <w:tcW w:type="dxa" w:w="1080"/>
          </w:tcPr>
          <w:p>
            <w:r>
              <w:rPr>
                <w:rFonts w:ascii="Calibri" w:hAnsi="Calibri"/>
                <w:sz w:val="22"/>
              </w:rPr>
              <w:t>$3,329.2M</w:t>
            </w:r>
          </w:p>
        </w:tc>
        <w:tc>
          <w:tcPr>
            <w:tcW w:type="dxa" w:w="1080"/>
          </w:tcPr>
          <w:p>
            <w:r>
              <w:rPr>
                <w:rFonts w:ascii="Calibri" w:hAnsi="Calibri"/>
                <w:sz w:val="22"/>
              </w:rPr>
              <w:t>$3,327.7M</w:t>
            </w:r>
          </w:p>
        </w:tc>
        <w:tc>
          <w:tcPr>
            <w:tcW w:type="dxa" w:w="1080"/>
          </w:tcPr>
          <w:p>
            <w:r>
              <w:rPr>
                <w:rFonts w:ascii="Calibri" w:hAnsi="Calibri"/>
                <w:sz w:val="22"/>
              </w:rPr>
              <w:t>~0.0%</w:t>
            </w:r>
          </w:p>
        </w:tc>
        <w:tc>
          <w:tcPr>
            <w:tcW w:type="dxa" w:w="1080"/>
          </w:tcPr>
          <w:p>
            <w:r>
              <w:rPr>
                <w:rFonts w:ascii="Calibri" w:hAnsi="Calibri"/>
                <w:sz w:val="22"/>
              </w:rPr>
              <w:t>7%–8% growth (~$3,295–$3,338M)</w:t>
            </w:r>
          </w:p>
        </w:tc>
        <w:tc>
          <w:tcPr>
            <w:tcW w:type="dxa" w:w="1080"/>
          </w:tcPr>
          <w:p>
            <w:r>
              <w:rPr>
                <w:rFonts w:ascii="Calibri" w:hAnsi="Calibri"/>
                <w:sz w:val="22"/>
              </w:rPr>
              <w:t>7%–8% growth</w:t>
            </w:r>
          </w:p>
        </w:tc>
        <w:tc>
          <w:tcPr>
            <w:tcW w:type="dxa" w:w="1080"/>
          </w:tcPr>
          <w:p>
            <w:r>
              <w:rPr>
                <w:rFonts w:ascii="Calibri" w:hAnsi="Calibri"/>
                <w:sz w:val="22"/>
              </w:rPr>
              <w:t>Unchanged</w:t>
            </w:r>
          </w:p>
        </w:tc>
        <w:tc>
          <w:tcPr>
            <w:tcW w:type="dxa" w:w="1080"/>
          </w:tcPr>
          <w:p>
            <w:r>
              <w:rPr>
                <w:rFonts w:ascii="Calibri" w:hAnsi="Calibri"/>
                <w:sz w:val="22"/>
              </w:rPr>
              <w:t>~midpoint</w:t>
            </w:r>
          </w:p>
        </w:tc>
      </w:tr>
      <w:tr>
        <w:tc>
          <w:tcPr>
            <w:tcW w:type="dxa" w:w="1080"/>
          </w:tcPr>
          <w:p>
            <w:r>
              <w:rPr>
                <w:rFonts w:ascii="Calibri" w:hAnsi="Calibri"/>
                <w:sz w:val="22"/>
              </w:rPr>
              <w:t>Non-GAAP EPS — FY2026</w:t>
            </w:r>
          </w:p>
        </w:tc>
        <w:tc>
          <w:tcPr>
            <w:tcW w:type="dxa" w:w="1080"/>
          </w:tcPr>
          <w:p>
            <w:r>
              <w:rPr>
                <w:rFonts w:ascii="Calibri" w:hAnsi="Calibri"/>
                <w:sz w:val="22"/>
              </w:rPr>
              <w:t>$16.50</w:t>
            </w:r>
          </w:p>
        </w:tc>
        <w:tc>
          <w:tcPr>
            <w:tcW w:type="dxa" w:w="1080"/>
          </w:tcPr>
          <w:p>
            <w:r>
              <w:rPr>
                <w:rFonts w:ascii="Calibri" w:hAnsi="Calibri"/>
                <w:sz w:val="22"/>
              </w:rPr>
              <w:t>$16.51</w:t>
            </w:r>
          </w:p>
        </w:tc>
        <w:tc>
          <w:tcPr>
            <w:tcW w:type="dxa" w:w="1080"/>
          </w:tcPr>
          <w:p>
            <w:r>
              <w:rPr>
                <w:rFonts w:ascii="Calibri" w:hAnsi="Calibri"/>
                <w:sz w:val="22"/>
              </w:rPr>
              <w:t>+0.1%</w:t>
            </w:r>
          </w:p>
        </w:tc>
        <w:tc>
          <w:tcPr>
            <w:tcW w:type="dxa" w:w="1080"/>
          </w:tcPr>
          <w:p>
            <w:r>
              <w:rPr>
                <w:rFonts w:ascii="Calibri" w:hAnsi="Calibri"/>
                <w:sz w:val="22"/>
              </w:rPr>
              <w:t>$16.25–$16.55</w:t>
            </w:r>
          </w:p>
        </w:tc>
        <w:tc>
          <w:tcPr>
            <w:tcW w:type="dxa" w:w="1080"/>
          </w:tcPr>
          <w:p>
            <w:r>
              <w:rPr>
                <w:rFonts w:ascii="Calibri" w:hAnsi="Calibri"/>
                <w:sz w:val="22"/>
              </w:rPr>
              <w:t>$16.25–$16.55</w:t>
            </w:r>
          </w:p>
        </w:tc>
        <w:tc>
          <w:tcPr>
            <w:tcW w:type="dxa" w:w="1080"/>
          </w:tcPr>
          <w:p>
            <w:r>
              <w:rPr>
                <w:rFonts w:ascii="Calibri" w:hAnsi="Calibri"/>
                <w:sz w:val="22"/>
              </w:rPr>
              <w:t>Unchanged</w:t>
            </w:r>
          </w:p>
        </w:tc>
        <w:tc>
          <w:tcPr>
            <w:tcW w:type="dxa" w:w="1080"/>
          </w:tcPr>
          <w:p>
            <w:r>
              <w:rPr>
                <w:rFonts w:ascii="Calibri" w:hAnsi="Calibri"/>
                <w:sz w:val="22"/>
              </w:rPr>
              <w:t>+0.7% vs. mid</w:t>
            </w:r>
          </w:p>
        </w:tc>
      </w:tr>
      <w:tr>
        <w:tc>
          <w:tcPr>
            <w:tcW w:type="dxa" w:w="1080"/>
          </w:tcPr>
          <w:p>
            <w:r>
              <w:rPr>
                <w:rFonts w:ascii="Calibri" w:hAnsi="Calibri"/>
                <w:sz w:val="22"/>
              </w:rPr>
              <w:t>Net Revenue — FY2027</w:t>
            </w:r>
          </w:p>
        </w:tc>
        <w:tc>
          <w:tcPr>
            <w:tcW w:type="dxa" w:w="1080"/>
          </w:tcPr>
          <w:p>
            <w:r>
              <w:rPr>
                <w:rFonts w:ascii="Calibri" w:hAnsi="Calibri"/>
                <w:sz w:val="22"/>
              </w:rPr>
              <w:t>$3,461.6M</w:t>
            </w:r>
          </w:p>
        </w:tc>
        <w:tc>
          <w:tcPr>
            <w:tcW w:type="dxa" w:w="1080"/>
          </w:tcPr>
          <w:p>
            <w:r>
              <w:rPr>
                <w:rFonts w:ascii="Calibri" w:hAnsi="Calibri"/>
                <w:sz w:val="22"/>
              </w:rPr>
              <w:t>$3,532.5M</w:t>
            </w:r>
          </w:p>
        </w:tc>
        <w:tc>
          <w:tcPr>
            <w:tcW w:type="dxa" w:w="1080"/>
          </w:tcPr>
          <w:p>
            <w:r>
              <w:rPr>
                <w:rFonts w:ascii="Calibri" w:hAnsi="Calibri"/>
                <w:b/>
                <w:color w:val="30A46C"/>
                <w:sz w:val="22"/>
              </w:rPr>
              <w:t>+2.0%</w:t>
            </w:r>
          </w:p>
        </w:tc>
        <w:tc>
          <w:tcPr>
            <w:tcW w:type="dxa" w:w="1080"/>
          </w:tcPr>
          <w:p>
            <w:r>
              <w:rPr>
                <w:rFonts w:ascii="Calibri" w:hAnsi="Calibri"/>
                <w:sz w:val="22"/>
              </w:rPr>
              <w:t>Upper-single-digit CAGR (Investor Day)</w:t>
            </w:r>
          </w:p>
        </w:tc>
        <w:tc>
          <w:tcPr>
            <w:tcW w:type="dxa" w:w="1080"/>
          </w:tcPr>
          <w:p>
            <w:r>
              <w:rPr>
                <w:rFonts w:ascii="Calibri" w:hAnsi="Calibri"/>
                <w:sz w:val="22"/>
              </w:rPr>
              <w:t>Upper-single-digit CAGR</w:t>
            </w:r>
          </w:p>
        </w:tc>
        <w:tc>
          <w:tcPr>
            <w:tcW w:type="dxa" w:w="1080"/>
          </w:tcPr>
          <w:p>
            <w:r>
              <w:rPr>
                <w:rFonts w:ascii="Calibri" w:hAnsi="Calibri"/>
                <w:sz w:val="22"/>
              </w:rPr>
              <w:t>Unchanged</w:t>
            </w:r>
          </w:p>
        </w:tc>
        <w:tc>
          <w:tcPr>
            <w:tcW w:type="dxa" w:w="1080"/>
          </w:tcPr>
          <w:p>
            <w:r>
              <w:rPr>
                <w:rFonts w:ascii="Calibri" w:hAnsi="Calibri"/>
                <w:sz w:val="22"/>
              </w:rPr>
              <w:t>N/A</w:t>
            </w:r>
          </w:p>
        </w:tc>
      </w:tr>
      <w:tr>
        <w:tc>
          <w:tcPr>
            <w:tcW w:type="dxa" w:w="1080"/>
          </w:tcPr>
          <w:p>
            <w:r>
              <w:rPr>
                <w:rFonts w:ascii="Calibri" w:hAnsi="Calibri"/>
                <w:sz w:val="22"/>
              </w:rPr>
              <w:t>Non-GAAP EPS — FY2027</w:t>
            </w:r>
          </w:p>
        </w:tc>
        <w:tc>
          <w:tcPr>
            <w:tcW w:type="dxa" w:w="1080"/>
          </w:tcPr>
          <w:p>
            <w:r>
              <w:rPr>
                <w:rFonts w:ascii="Calibri" w:hAnsi="Calibri"/>
                <w:sz w:val="22"/>
              </w:rPr>
              <w:t>$17.29</w:t>
            </w:r>
          </w:p>
        </w:tc>
        <w:tc>
          <w:tcPr>
            <w:tcW w:type="dxa" w:w="1080"/>
          </w:tcPr>
          <w:p>
            <w:r>
              <w:rPr>
                <w:rFonts w:ascii="Calibri" w:hAnsi="Calibri"/>
                <w:sz w:val="22"/>
              </w:rPr>
              <w:t>$17.57</w:t>
            </w:r>
          </w:p>
        </w:tc>
        <w:tc>
          <w:tcPr>
            <w:tcW w:type="dxa" w:w="1080"/>
          </w:tcPr>
          <w:p>
            <w:r>
              <w:rPr>
                <w:rFonts w:ascii="Calibri" w:hAnsi="Calibri"/>
                <w:b/>
                <w:color w:val="30A46C"/>
                <w:sz w:val="22"/>
              </w:rPr>
              <w:t>+1.6%</w:t>
            </w:r>
          </w:p>
        </w:tc>
        <w:tc>
          <w:tcPr>
            <w:tcW w:type="dxa" w:w="1080"/>
          </w:tcPr>
          <w:p>
            <w:r>
              <w:rPr>
                <w:rFonts w:ascii="Calibri" w:hAnsi="Calibri"/>
                <w:sz w:val="22"/>
              </w:rPr>
              <w:t>Double-digit EPS CAGR (Investor Day)</w:t>
            </w:r>
          </w:p>
        </w:tc>
        <w:tc>
          <w:tcPr>
            <w:tcW w:type="dxa" w:w="1080"/>
          </w:tcPr>
          <w:p>
            <w:r>
              <w:rPr>
                <w:rFonts w:ascii="Calibri" w:hAnsi="Calibri"/>
                <w:sz w:val="22"/>
              </w:rPr>
              <w:t>Double-digit EPS CAGR</w:t>
            </w:r>
          </w:p>
        </w:tc>
        <w:tc>
          <w:tcPr>
            <w:tcW w:type="dxa" w:w="1080"/>
          </w:tcPr>
          <w:p>
            <w:r>
              <w:rPr>
                <w:rFonts w:ascii="Calibri" w:hAnsi="Calibri"/>
                <w:sz w:val="22"/>
              </w:rPr>
              <w:t>Unchanged</w:t>
            </w:r>
          </w:p>
        </w:tc>
        <w:tc>
          <w:tcPr>
            <w:tcW w:type="dxa" w:w="1080"/>
          </w:tcPr>
          <w:p>
            <w:r>
              <w:rPr>
                <w:rFonts w:ascii="Calibri" w:hAnsi="Calibri"/>
                <w:sz w:val="22"/>
              </w:rPr>
              <w:t>N/A</w:t>
            </w:r>
          </w:p>
        </w:tc>
      </w:tr>
    </w:tbl>
    <w:p>
      <w:r>
        <w:rPr>
          <w:rFonts w:ascii="Calibri" w:hAnsi="Calibri"/>
          <w:color w:val="525866"/>
          <w:sz w:val="22"/>
        </w:rPr>
        <w:t>Estimates for Q3 FY2026 and FY2026 have been remarkably stable since the Q2 print, tracking tightly within the guidance corridor — a sign that the Street has high confidence in management’s framework. FY2027 estimates have drifted modestly higher (+2% revenue, +1.6% EPS) since the Investor Day, reflecting growing conviction in the software inflection and sustained systems strength narrative.</w:t>
      </w:r>
    </w:p>
    <w:p>
      <w:r>
        <w:rPr>
          <w:rFonts w:ascii="Calibri" w:hAnsi="Calibri"/>
          <w:color w:val="525866"/>
          <w:sz w:val="22"/>
        </w:rPr>
        <w:t>Source: Visible Alpha Consensus and Actuals Data. Post-Q2 baseline as of May 5, 2026 (5 trading days after April 28, 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FFIV has surged ~29% since the Q2 earnings print vs. S&amp;P 500 +4% and IGV +4%, driven by a combination of </w:t>
      </w:r>
      <w:r>
        <w:rPr>
          <w:rFonts w:ascii="Calibri" w:hAnsi="Calibri"/>
          <w:b/>
          <w:color w:val="525866"/>
          <w:sz w:val="22"/>
        </w:rPr>
        <w:t>multiple re-rating</w:t>
      </w:r>
      <w:r>
        <w:rPr>
          <w:rFonts w:ascii="Calibri" w:hAnsi="Calibri"/>
          <w:color w:val="525866"/>
          <w:sz w:val="22"/>
        </w:rPr>
        <w:t xml:space="preserve"> (market recognizing the durability of the hardware refresh + AI narrative) and </w:t>
      </w:r>
      <w:r>
        <w:rPr>
          <w:rFonts w:ascii="Calibri" w:hAnsi="Calibri"/>
          <w:b/>
          <w:color w:val="525866"/>
          <w:sz w:val="22"/>
        </w:rPr>
        <w:t>upward estimate revisions</w:t>
      </w:r>
      <w:r>
        <w:rPr>
          <w:rFonts w:ascii="Calibri" w:hAnsi="Calibri"/>
          <w:color w:val="525866"/>
          <w:sz w:val="22"/>
        </w:rPr>
        <w:t xml:space="preserve"> following the guidance raise. The stock’s outperformance is durable if Q3 confirms the refresh cycle is intact, but the elevated entry point raises the bar for a positive reaction.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FFIV vs. IGV (Software ETF) vs. S&amp;P 500 — Indexed to 100 at Q2 FY2026 Earnings (April 28, 2026). Source: Yahoo Finance / Stock Price Data.</w:t>
      </w:r>
    </w:p>
    <w:p>
      <w:r>
        <w:rPr>
          <w:rFonts w:ascii="Calibri" w:hAnsi="Calibri"/>
          <w:color w:val="525866"/>
          <w:sz w:val="22"/>
        </w:rPr>
        <w:t>Sector ETF used: IGV (iShares Expanded Tech-Software Sector ETF) — appropriate for F5’s software infrastructure sub-sector classification. FFIV’s +29.1% return since the Q2 print compares to IGV +3.5% and SPY +3.8%, representing ~25 percentage points of alpha. The stock reached a peak of ~$409 in late July before pulling back modestly to ~$392 as of July 25, 2026. Key events during the period include the May 28 Investor Day (where management guided to upper-single-digit revenue CAGR through FY2029 and double-digit EPS CAGR) and the June 23 board appointment of Munroe. The stock’s strong run means the market has already priced in significant execution; a clean Q3 beat is needed to sustain these levels.</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Q2 earnings is the </w:t>
      </w:r>
      <w:r>
        <w:rPr>
          <w:rFonts w:ascii="Calibri" w:hAnsi="Calibri"/>
          <w:b/>
          <w:color w:val="525866"/>
          <w:sz w:val="22"/>
        </w:rPr>
        <w:t>May 28 Investor Day</w:t>
      </w:r>
      <w:r>
        <w:rPr>
          <w:rFonts w:ascii="Calibri" w:hAnsi="Calibri"/>
          <w:color w:val="525866"/>
          <w:sz w:val="22"/>
        </w:rPr>
        <w:t>, where F5 provided its first multi-year financial framework — upper-single-digit revenue CAGR and double-digit EPS CAGR through FY2029 — materially raising the long-term growth ceiling and validating the AI + hybrid multi-cloud thesis. This is the single biggest positive catalyst for the stock since the Q2 print.</w:t>
      </w:r>
    </w:p>
    <w:p>
      <w:pPr>
        <w:pStyle w:val="ListBullet"/>
        <w:ind w:left="360" w:hanging="360"/>
      </w:pPr>
      <w:r>
        <w:rPr>
          <w:rFonts w:ascii="Calibri" w:hAnsi="Calibri"/>
          <w:b/>
          <w:color w:val="525866"/>
          <w:sz w:val="22"/>
        </w:rPr>
        <w:t>May 28, 2026 — Analyst &amp; Investor Day (most important):</w:t>
      </w:r>
      <w:r>
        <w:rPr>
          <w:rFonts w:ascii="Calibri" w:hAnsi="Calibri"/>
          <w:color w:val="525866"/>
          <w:sz w:val="22"/>
        </w:rPr>
        <w:t xml:space="preserve"> F5 hosted its first Investor Day in years, providing a multi-year financial framework: upper-single-digit revenue CAGR through FY2029, double-digit non-GAAP EPS CAGR, operating margins expanding to mid-to-upper 30s by FY2029, and a $40B TAM estimate including AI demand. Management formally guided for the systems business to sustain mid-single-digit growth (a material upgrade from prior expectations of secular decline), and for software to become a consistent double-digit growth category. The AI WAF product onboarded 200+ enterprise customers in its first 70 days. </w:t>
      </w:r>
    </w:p>
    <w:p>
      <w:pPr>
        <w:pStyle w:val="ListBullet"/>
        <w:ind w:left="360" w:hanging="360"/>
      </w:pPr>
      <w:r>
        <w:rPr>
          <w:rFonts w:ascii="Calibri" w:hAnsi="Calibri"/>
          <w:b/>
          <w:color w:val="525866"/>
          <w:sz w:val="22"/>
        </w:rPr>
        <w:t>June 23, 2026 — Board Appointment:</w:t>
      </w:r>
      <w:r>
        <w:rPr>
          <w:rFonts w:ascii="Calibri" w:hAnsi="Calibri"/>
          <w:color w:val="525866"/>
          <w:sz w:val="22"/>
        </w:rPr>
        <w:t xml:space="preserve"> F5 appointed a new independent director (Munroe) to its Board of Directors. Governance positive; no direct financial impact.</w:t>
      </w:r>
    </w:p>
    <w:p>
      <w:pPr>
        <w:pStyle w:val="ListBullet"/>
        <w:ind w:left="360" w:hanging="360"/>
      </w:pPr>
      <w:r>
        <w:rPr>
          <w:rFonts w:ascii="Calibri" w:hAnsi="Calibri"/>
          <w:b/>
          <w:color w:val="525866"/>
          <w:sz w:val="22"/>
        </w:rPr>
        <w:t>May 28, 2026 — AI Factory Load Balancing Validation:</w:t>
      </w:r>
      <w:r>
        <w:rPr>
          <w:rFonts w:ascii="Calibri" w:hAnsi="Calibri"/>
          <w:color w:val="525866"/>
          <w:sz w:val="22"/>
        </w:rPr>
        <w:t xml:space="preserve"> At Investor Day, F5 disclosed independent testing results showing its software integrated with NVIDIA BlueField DPUs delivers 40% higher total throughput, 61% faster time to first token, and 34% improvement in full inference response time. This validates the AI factory load balancing use case and strengthens the NVIDIA partnership narrative heading into Q3.</w:t>
      </w:r>
    </w:p>
    <w:p>
      <w:pPr>
        <w:pStyle w:val="ListBullet"/>
        <w:ind w:left="360" w:hanging="360"/>
      </w:pPr>
      <w:r>
        <w:rPr>
          <w:rFonts w:ascii="Calibri" w:hAnsi="Calibri"/>
          <w:b/>
          <w:color w:val="525866"/>
          <w:sz w:val="22"/>
        </w:rPr>
        <w:t>May 28, 2026 — Competitive Displacement Opportunity Quantified:</w:t>
      </w:r>
      <w:r>
        <w:rPr>
          <w:rFonts w:ascii="Calibri" w:hAnsi="Calibri"/>
          <w:color w:val="525866"/>
          <w:sz w:val="22"/>
        </w:rPr>
        <w:t xml:space="preserve"> Management identified 3,000 enterprise and government targets for competitive displacement (primarily from Citrix/Broadcom), representing a $600M incremental revenue opportunity from CY2027–CY2030. Digital sovereignty regulations (DORA, NIS2 in EMEA; PDPA in Singapore) represent an additional $700M opportunity over the same period.</w:t>
      </w:r>
    </w:p>
    <w:p>
      <w:pPr>
        <w:pStyle w:val="ListBullet"/>
        <w:ind w:left="360" w:hanging="360"/>
      </w:pPr>
      <w:r>
        <w:rPr>
          <w:rFonts w:ascii="Calibri" w:hAnsi="Calibri"/>
          <w:b/>
          <w:color w:val="525866"/>
          <w:sz w:val="22"/>
        </w:rPr>
        <w:t>April 28, 2026 — Q2 FY2026 Earnings Beat &amp; Guidance Raise:</w:t>
      </w:r>
      <w:r>
        <w:rPr>
          <w:rFonts w:ascii="Calibri" w:hAnsi="Calibri"/>
          <w:color w:val="525866"/>
          <w:sz w:val="22"/>
        </w:rPr>
        <w:t xml:space="preserve"> F5 reported Q2 revenue of $811.7M (+10% YoY) and non-GAAP EPS of $3.90, both above consensus. FY2026 revenue growth guidance raised to 7–8% from 5–6%; FY2026 EPS guidance raised to $16.25–$16.55 from $15.65–$16.05. First-ever quantified AI revenue metrics disclosed: ~$50M in H1 FY2026 AI-related sales, up 200%+ YoY, approaching 100 AI customers.</w:t>
      </w:r>
    </w:p>
    <w:p>
      <w:pPr>
        <w:pStyle w:val="ListBullet"/>
        <w:ind w:left="360" w:hanging="360"/>
      </w:pPr>
      <w:r>
        <w:rPr>
          <w:rFonts w:ascii="Calibri" w:hAnsi="Calibri"/>
          <w:b/>
          <w:color w:val="525866"/>
          <w:sz w:val="22"/>
        </w:rPr>
        <w:t>April 28, 2026 — Memory/SSD Cost Headwind Flagged:</w:t>
      </w:r>
      <w:r>
        <w:rPr>
          <w:rFonts w:ascii="Calibri" w:hAnsi="Calibri"/>
          <w:color w:val="525866"/>
          <w:sz w:val="22"/>
        </w:rPr>
        <w:t xml:space="preserve"> Management disclosed that rising memory and SSD prices will cause gross margin to step down sequentially from Q3 into Q4 FY2026, with elevated costs expected to persist through much of FY2027. This is the primary near-term risk to watch. F5 proactively secured near-term supply but is making selective price adjustments to partially offset the impact. </w:t>
      </w:r>
    </w:p>
    <w:p>
      <w:pPr>
        <w:pStyle w:val="ListBullet"/>
        <w:ind w:left="360" w:hanging="360"/>
      </w:pPr>
      <w:r>
        <w:rPr>
          <w:rFonts w:ascii="Calibri" w:hAnsi="Calibri"/>
          <w:b/>
          <w:color w:val="525866"/>
          <w:sz w:val="22"/>
        </w:rPr>
        <w:t>April 28, 2026 — New Board Member (Anand Eswaran):</w:t>
      </w:r>
      <w:r>
        <w:rPr>
          <w:rFonts w:ascii="Calibri" w:hAnsi="Calibri"/>
          <w:color w:val="525866"/>
          <w:sz w:val="22"/>
        </w:rPr>
        <w:t xml:space="preserve"> F5 appointed Anand Eswaran to its Board of Directors. Governance positive.</w:t>
      </w:r>
    </w:p>
    <w:p>
      <w:pPr>
        <w:pStyle w:val="ListBullet"/>
        <w:ind w:left="360" w:hanging="360"/>
      </w:pPr>
      <w:r>
        <w:rPr>
          <w:rFonts w:ascii="Calibri" w:hAnsi="Calibri"/>
          <w:b/>
          <w:color w:val="525866"/>
          <w:sz w:val="22"/>
        </w:rPr>
        <w:t>Ongoing — AI Security Demand Surge (Mythos):</w:t>
      </w:r>
      <w:r>
        <w:rPr>
          <w:rFonts w:ascii="Calibri" w:hAnsi="Calibri"/>
          <w:color w:val="525866"/>
          <w:sz w:val="22"/>
        </w:rPr>
        <w:t xml:space="preserve"> The emergence of frontier AI models (referred to as “Mythos” across the industry) has dramatically accelerated enterprise security urgency. Peers PANW, CRWD, and ZS all reported a step-change in inbound customer demand for AI-era security solutions. F5’s AI-powered WAF, Agentic Bot Defense, and AI Remediate products are directly positioned to benefit from this trend. </w:t>
      </w:r>
    </w:p>
    <w:p>
      <w:pPr>
        <w:pStyle w:val="ListBullet"/>
        <w:ind w:left="360" w:hanging="360"/>
      </w:pPr>
      <w:r>
        <w:rPr>
          <w:rFonts w:ascii="Calibri" w:hAnsi="Calibri"/>
          <w:b/>
          <w:color w:val="525866"/>
          <w:sz w:val="22"/>
        </w:rPr>
        <w:t>Ongoing — NVIDIA Reference Architecture Inclusion:</w:t>
      </w:r>
      <w:r>
        <w:rPr>
          <w:rFonts w:ascii="Calibri" w:hAnsi="Calibri"/>
          <w:color w:val="525866"/>
          <w:sz w:val="22"/>
        </w:rPr>
        <w:t xml:space="preserve"> As of December 2025, F5 software was formally included in NVIDIA’s reference architecture for AI factories. This positions F5 as a standard component in AI infrastructure build-outs, with the efficiency value proposition expected to resonate more as customers move deeper into inference workloads.</w:t>
      </w:r>
    </w:p>
    <w:p>
      <w:r>
        <w:br w:type="page"/>
      </w:r>
    </w:p>
    <w:p>
      <w:pPr>
        <w:pStyle w:val="Heading2"/>
      </w:pPr>
      <w:r>
        <w:rPr>
          <w:rFonts w:ascii="Calibri" w:hAnsi="Calibri"/>
          <w:b/>
          <w:color w:val="3B4259"/>
          <w:sz w:val="28"/>
        </w:rPr>
        <w:t>7. Peer Commentaries — Read-Through Analysis</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uniformly bullish</w:t>
      </w:r>
      <w:r>
        <w:rPr>
          <w:rFonts w:ascii="Calibri" w:hAnsi="Calibri"/>
          <w:color w:val="525866"/>
          <w:sz w:val="22"/>
        </w:rPr>
        <w:t xml:space="preserve"> for F5’s Q3 setup — PANW, CRWD, and ZS all reported a step-change in enterprise security demand driven by AI-era threats (the “Mythos moment”), PANW confirmed its strongest hardware quarter in a decade with firewall bookings up ~40% YoY, and Cloudflare’s Investor Day highlighted surging agentic traffic and AI infrastructure spending. All of these trends directly support F5’s systems refresh, AI security, and distributed cloud narratives.</w:t>
      </w:r>
    </w:p>
    <w:p>
      <w:r>
        <w:rPr>
          <w:rFonts w:ascii="Calibri" w:hAnsi="Calibri"/>
          <w:b/>
          <w:color w:val="525866"/>
          <w:sz w:val="22"/>
        </w:rPr>
        <w:t xml:space="preserve">Note: </w:t>
      </w:r>
      <w:r>
        <w:rPr>
          <w:rFonts w:ascii="Calibri" w:hAnsi="Calibri"/>
          <w:color w:val="525866"/>
          <w:sz w:val="22"/>
        </w:rPr>
        <w:t>Only peer commentary from the current reporting period (i.e., commentary about Q3 FY2026 / calendar Q2 2026 conditions, or post-Q2 FY2026 earnings commentary about forward trends) is included below. Prior-quarter earnings results commentary has been excluded.</w:t>
      </w:r>
    </w:p>
    <w:p>
      <w:pPr>
        <w:pStyle w:val="Heading3"/>
      </w:pPr>
      <w:r>
        <w:rPr>
          <w:rFonts w:ascii="Calibri" w:hAnsi="Calibri"/>
          <w:b/>
          <w:color w:val="3B4259"/>
          <w:sz w:val="24"/>
        </w:rPr>
        <w:t>Palo Alto Networks (PANW) — Q3 FY2026 Earnings Call (June 2, 2026)</w:t>
      </w:r>
    </w:p>
    <w:p>
      <w:r>
        <w:rPr>
          <w:rFonts w:ascii="Calibri" w:hAnsi="Calibri"/>
          <w:b/>
          <w:color w:val="525866"/>
          <w:sz w:val="22"/>
        </w:rPr>
        <w:t xml:space="preserve">Relevance to FFIV: </w:t>
      </w:r>
      <w:r>
        <w:rPr>
          <w:rFonts w:ascii="Calibri" w:hAnsi="Calibri"/>
          <w:color w:val="525866"/>
          <w:sz w:val="22"/>
        </w:rPr>
        <w:t>High — PANW is F5’s closest peer in enterprise network security and application delivery. PANW’s hardware commentary is a direct read-through for F5’s systems business.</w:t>
      </w:r>
    </w:p>
    <w:p>
      <w:pPr>
        <w:pStyle w:val="ListBullet"/>
        <w:ind w:left="360" w:hanging="360"/>
      </w:pPr>
      <w:r>
        <w:rPr>
          <w:rFonts w:ascii="Calibri" w:hAnsi="Calibri"/>
          <w:b/>
          <w:color w:val="525866"/>
          <w:sz w:val="22"/>
        </w:rPr>
        <w:t>Strongest hardware quarter in a decade:</w:t>
      </w:r>
      <w:r>
        <w:rPr>
          <w:rFonts w:ascii="Calibri" w:hAnsi="Calibri"/>
          <w:color w:val="525866"/>
          <w:sz w:val="22"/>
        </w:rPr>
        <w:t xml:space="preserve"> PANW reported next-generation firewall bookings up nearly 40% YoY in Q3, calling it the “strongest hardware performance in a decade.” Management attributed this to AI data center build-outs and early wins with sovereign infrastructure providers and AI labs. → </w:t>
      </w:r>
      <w:r>
        <w:rPr>
          <w:rFonts w:ascii="Calibri" w:hAnsi="Calibri"/>
          <w:b/>
          <w:color w:val="525866"/>
          <w:sz w:val="22"/>
        </w:rPr>
        <w:t>Direct positive read-through for F5’s systems revenue in Q3 FY2026.</w:t>
      </w:r>
    </w:p>
    <w:p>
      <w:pPr>
        <w:pStyle w:val="ListBullet"/>
        <w:ind w:left="360" w:hanging="360"/>
      </w:pPr>
      <w:r>
        <w:rPr>
          <w:rFonts w:ascii="Calibri" w:hAnsi="Calibri"/>
          <w:b/>
          <w:color w:val="525866"/>
          <w:sz w:val="22"/>
        </w:rPr>
        <w:t>AI-driven security demand step-change:</w:t>
      </w:r>
      <w:r>
        <w:rPr>
          <w:rFonts w:ascii="Calibri" w:hAnsi="Calibri"/>
          <w:color w:val="525866"/>
          <w:sz w:val="22"/>
        </w:rPr>
        <w:t xml:space="preserve"> CEO Nikesh Arora stated: “Mark my words, Mythos has increased the terminal value of the entire cybersecurity industry.” PANW completed 800 customer meetings in 6 weeks post-Mythos, with 1,200+ customers requesting meetings. → </w:t>
      </w:r>
      <w:r>
        <w:rPr>
          <w:rFonts w:ascii="Calibri" w:hAnsi="Calibri"/>
          <w:b/>
          <w:color w:val="525866"/>
          <w:sz w:val="22"/>
        </w:rPr>
        <w:t>Validates F5’s commentary on a ‘step change’ in security engagement and supports demand for F5’s AI-powered WAF and bot defense products.</w:t>
      </w:r>
    </w:p>
    <w:p>
      <w:pPr>
        <w:pStyle w:val="ListBullet"/>
        <w:ind w:left="360" w:hanging="360"/>
      </w:pPr>
      <w:r>
        <w:rPr>
          <w:rFonts w:ascii="Calibri" w:hAnsi="Calibri"/>
          <w:b/>
          <w:color w:val="525866"/>
          <w:sz w:val="22"/>
        </w:rPr>
        <w:t>SASE ARR at $1.6B, growing 40% YoY:</w:t>
      </w:r>
      <w:r>
        <w:rPr>
          <w:rFonts w:ascii="Calibri" w:hAnsi="Calibri"/>
          <w:color w:val="525866"/>
          <w:sz w:val="22"/>
        </w:rPr>
        <w:t xml:space="preserve"> PANW’s SASE business is growing at 2x the market rate, with customers increasingly preferring consolidated hardware + software + SASE strategies. → </w:t>
      </w:r>
      <w:r>
        <w:rPr>
          <w:rFonts w:ascii="Calibri" w:hAnsi="Calibri"/>
          <w:b/>
          <w:color w:val="525866"/>
          <w:sz w:val="22"/>
        </w:rPr>
        <w:t>Supports F5’s hybrid multi-cloud platform consolidation thesis.</w:t>
      </w:r>
    </w:p>
    <w:p>
      <w:pPr>
        <w:pStyle w:val="ListBullet"/>
        <w:ind w:left="360" w:hanging="360"/>
      </w:pPr>
      <w:r>
        <w:rPr>
          <w:rFonts w:ascii="Calibri" w:hAnsi="Calibri"/>
          <w:b/>
          <w:color w:val="525866"/>
          <w:sz w:val="22"/>
        </w:rPr>
        <w:t>AI data centers driving new firewall demand:</w:t>
      </w:r>
      <w:r>
        <w:rPr>
          <w:rFonts w:ascii="Calibri" w:hAnsi="Calibri"/>
          <w:color w:val="525866"/>
          <w:sz w:val="22"/>
        </w:rPr>
        <w:t xml:space="preserve"> “AI data centers and AI-driven enterprise networking needs are driving a new market opportunity for us, which could potentially be additive to our long-term growth for firewall appliances.” → </w:t>
      </w:r>
      <w:r>
        <w:rPr>
          <w:rFonts w:ascii="Calibri" w:hAnsi="Calibri"/>
          <w:b/>
          <w:color w:val="525866"/>
          <w:sz w:val="22"/>
        </w:rPr>
        <w:t>Directly corroborates F5’s AI factory load balancing opportunity.</w:t>
      </w:r>
    </w:p>
    <w:p>
      <w:pPr>
        <w:pStyle w:val="ListBullet"/>
        <w:ind w:left="360" w:hanging="360"/>
      </w:pPr>
      <w:r>
        <w:rPr>
          <w:rFonts w:ascii="Calibri" w:hAnsi="Calibri"/>
          <w:b/>
          <w:color w:val="525866"/>
          <w:sz w:val="22"/>
        </w:rPr>
        <w:t>Full-year guidance raised across all metrics:</w:t>
      </w:r>
      <w:r>
        <w:rPr>
          <w:rFonts w:ascii="Calibri" w:hAnsi="Calibri"/>
          <w:color w:val="525866"/>
          <w:sz w:val="22"/>
        </w:rPr>
        <w:t xml:space="preserve"> PANW raised FY2026 revenue guidance to $11.415–$11.425B (24% growth) and EPS to $3.77–$3.79. Strong Q4 pipeline cited. → </w:t>
      </w:r>
      <w:r>
        <w:rPr>
          <w:rFonts w:ascii="Calibri" w:hAnsi="Calibri"/>
          <w:b/>
          <w:color w:val="525866"/>
          <w:sz w:val="22"/>
        </w:rPr>
        <w:t>Positive macro read-through for enterprise security spending environment.</w:t>
      </w:r>
    </w:p>
    <w:p>
      <w:pPr>
        <w:pStyle w:val="Heading3"/>
      </w:pPr>
      <w:r>
        <w:rPr>
          <w:rFonts w:ascii="Calibri" w:hAnsi="Calibri"/>
          <w:b/>
          <w:color w:val="3B4259"/>
          <w:sz w:val="24"/>
        </w:rPr>
        <w:t>CrowdStrike (CRWD) — Q1 FY2027 Earnings Call (June 3, 2026)</w:t>
      </w:r>
    </w:p>
    <w:p>
      <w:r>
        <w:rPr>
          <w:rFonts w:ascii="Calibri" w:hAnsi="Calibri"/>
          <w:b/>
          <w:color w:val="525866"/>
          <w:sz w:val="22"/>
        </w:rPr>
        <w:t xml:space="preserve">Relevance to FFIV: </w:t>
      </w:r>
      <w:r>
        <w:rPr>
          <w:rFonts w:ascii="Calibri" w:hAnsi="Calibri"/>
          <w:color w:val="525866"/>
          <w:sz w:val="22"/>
        </w:rPr>
        <w:t>Medium-High — CRWD is a leading indicator for enterprise security spending and AI-driven demand. CRWD’s commentary on the “Mythos moment” and incremental AI security budgets is a read-through for F5’s security business.</w:t>
      </w:r>
    </w:p>
    <w:p>
      <w:pPr>
        <w:pStyle w:val="ListBullet"/>
        <w:ind w:left="360" w:hanging="360"/>
      </w:pPr>
      <w:r>
        <w:rPr>
          <w:rFonts w:ascii="Calibri" w:hAnsi="Calibri"/>
          <w:b/>
          <w:color w:val="525866"/>
          <w:sz w:val="22"/>
        </w:rPr>
        <w:t>Record Q1 net new ARR of $256M, up 32% YoY:</w:t>
      </w:r>
      <w:r>
        <w:rPr>
          <w:rFonts w:ascii="Calibri" w:hAnsi="Calibri"/>
          <w:color w:val="525866"/>
          <w:sz w:val="22"/>
        </w:rPr>
        <w:t xml:space="preserve"> CRWD reported accelerating ARR growth for the fourth consecutive quarter, with the “Mythos inflection moment” in April crystallizing AI security as a strategic imperative. → </w:t>
      </w:r>
      <w:r>
        <w:rPr>
          <w:rFonts w:ascii="Calibri" w:hAnsi="Calibri"/>
          <w:b/>
          <w:color w:val="525866"/>
          <w:sz w:val="22"/>
        </w:rPr>
        <w:t>Confirms the AI security demand environment is robust heading into F5’s Q3.</w:t>
      </w:r>
    </w:p>
    <w:p>
      <w:pPr>
        <w:pStyle w:val="ListBullet"/>
        <w:ind w:left="360" w:hanging="360"/>
      </w:pPr>
      <w:r>
        <w:rPr>
          <w:rFonts w:ascii="Calibri" w:hAnsi="Calibri"/>
          <w:b/>
          <w:color w:val="525866"/>
          <w:sz w:val="22"/>
        </w:rPr>
        <w:t>AI security budgets are incremental, not cannibalistic:</w:t>
      </w:r>
      <w:r>
        <w:rPr>
          <w:rFonts w:ascii="Calibri" w:hAnsi="Calibri"/>
          <w:color w:val="525866"/>
          <w:sz w:val="22"/>
        </w:rPr>
        <w:t xml:space="preserve"> Management noted: “2 years ago, there weren’t these big token budgets. All of a sudden, there is and people are finding money and it’s incremental.” Customers stated: “We need to solve the security issue because we want to deploy AI faster.” → </w:t>
      </w:r>
      <w:r>
        <w:rPr>
          <w:rFonts w:ascii="Calibri" w:hAnsi="Calibri"/>
          <w:b/>
          <w:color w:val="525866"/>
          <w:sz w:val="22"/>
        </w:rPr>
        <w:t>Supports F5’s thesis that AI security spending is additive to existing budgets.</w:t>
      </w:r>
    </w:p>
    <w:p>
      <w:pPr>
        <w:pStyle w:val="ListBullet"/>
        <w:ind w:left="360" w:hanging="360"/>
      </w:pPr>
      <w:r>
        <w:rPr>
          <w:rFonts w:ascii="Calibri" w:hAnsi="Calibri"/>
          <w:b/>
          <w:color w:val="525866"/>
          <w:sz w:val="22"/>
        </w:rPr>
        <w:t>Agentic AI creating greenfield sensor demand:</w:t>
      </w:r>
      <w:r>
        <w:rPr>
          <w:rFonts w:ascii="Calibri" w:hAnsi="Calibri"/>
          <w:color w:val="525866"/>
          <w:sz w:val="22"/>
        </w:rPr>
        <w:t xml:space="preserve"> “Non-human identities and agents require their own underlying host, creating greenfield demand for sensors.” Companies are deploying agentic workloads inside VMs, each requiring its own sensor. → </w:t>
      </w:r>
      <w:r>
        <w:rPr>
          <w:rFonts w:ascii="Calibri" w:hAnsi="Calibri"/>
          <w:b/>
          <w:color w:val="525866"/>
          <w:sz w:val="22"/>
        </w:rPr>
        <w:t>Validates F5’s Agentic Bot Defense product launch and the broader AI agent security opportunity.</w:t>
      </w:r>
    </w:p>
    <w:p>
      <w:pPr>
        <w:pStyle w:val="ListBullet"/>
        <w:ind w:left="360" w:hanging="360"/>
      </w:pPr>
      <w:r>
        <w:rPr>
          <w:rFonts w:ascii="Calibri" w:hAnsi="Calibri"/>
          <w:b/>
          <w:color w:val="525866"/>
          <w:sz w:val="22"/>
        </w:rPr>
        <w:t>Full-year net new ARR guidance raised by 500+ bps:</w:t>
      </w:r>
      <w:r>
        <w:rPr>
          <w:rFonts w:ascii="Calibri" w:hAnsi="Calibri"/>
          <w:color w:val="525866"/>
          <w:sz w:val="22"/>
        </w:rPr>
        <w:t xml:space="preserve"> CRWD raised FY2027 net new ARR growth expectations by more than 500 basis points, now expecting $1.291B in net new ARR (+27.7% YoY). → </w:t>
      </w:r>
      <w:r>
        <w:rPr>
          <w:rFonts w:ascii="Calibri" w:hAnsi="Calibri"/>
          <w:b/>
          <w:color w:val="525866"/>
          <w:sz w:val="22"/>
        </w:rPr>
        <w:t>Broad-based positive signal for enterprise security spending.</w:t>
      </w:r>
    </w:p>
    <w:p>
      <w:pPr>
        <w:pStyle w:val="ListBullet"/>
        <w:ind w:left="360" w:hanging="360"/>
      </w:pPr>
      <w:r>
        <w:rPr>
          <w:rFonts w:ascii="Calibri" w:hAnsi="Calibri"/>
          <w:b/>
          <w:color w:val="525866"/>
          <w:sz w:val="22"/>
        </w:rPr>
        <w:t>AIDR (AI Detection &amp; Response) emerging as new growth pillar:</w:t>
      </w:r>
      <w:r>
        <w:rPr>
          <w:rFonts w:ascii="Calibri" w:hAnsi="Calibri"/>
          <w:color w:val="525866"/>
          <w:sz w:val="22"/>
        </w:rPr>
        <w:t xml:space="preserve"> AIDR ending ARR grew 250%+ sequentially with Q2 pipeline already exceeding $50M. Management believes AIDR is a “larger opportunity than EDR.” → </w:t>
      </w:r>
      <w:r>
        <w:rPr>
          <w:rFonts w:ascii="Calibri" w:hAnsi="Calibri"/>
          <w:b/>
          <w:color w:val="525866"/>
          <w:sz w:val="22"/>
        </w:rPr>
        <w:t>Corroborates F5’s AI-powered security product momentum.</w:t>
      </w:r>
    </w:p>
    <w:p>
      <w:pPr>
        <w:pStyle w:val="Heading3"/>
      </w:pPr>
      <w:r>
        <w:rPr>
          <w:rFonts w:ascii="Calibri" w:hAnsi="Calibri"/>
          <w:b/>
          <w:color w:val="3B4259"/>
          <w:sz w:val="24"/>
        </w:rPr>
        <w:t>Zscaler (ZS) — Q3 FY2026 Earnings Call (May 26, 2026)</w:t>
      </w:r>
    </w:p>
    <w:p>
      <w:r>
        <w:rPr>
          <w:rFonts w:ascii="Calibri" w:hAnsi="Calibri"/>
          <w:b/>
          <w:color w:val="525866"/>
          <w:sz w:val="22"/>
        </w:rPr>
        <w:t xml:space="preserve">Relevance to FFIV: </w:t>
      </w:r>
      <w:r>
        <w:rPr>
          <w:rFonts w:ascii="Calibri" w:hAnsi="Calibri"/>
          <w:color w:val="525866"/>
          <w:sz w:val="22"/>
        </w:rPr>
        <w:t>Medium — ZS is a cloud-native security peer. Its commentary on enterprise security demand, AI-driven urgency, and the IT spending environment is relevant context for F5’s security business, though ZS’s pure-cloud architecture differs from F5’s hybrid model.</w:t>
      </w:r>
    </w:p>
    <w:p>
      <w:pPr>
        <w:pStyle w:val="ListBullet"/>
        <w:ind w:left="360" w:hanging="360"/>
      </w:pPr>
      <w:r>
        <w:rPr>
          <w:rFonts w:ascii="Calibri" w:hAnsi="Calibri"/>
          <w:b/>
          <w:color w:val="525866"/>
          <w:sz w:val="22"/>
        </w:rPr>
        <w:t>ARR grew 25% YoY to $3.5B; net new ARR up 24%:</w:t>
      </w:r>
      <w:r>
        <w:rPr>
          <w:rFonts w:ascii="Calibri" w:hAnsi="Calibri"/>
          <w:color w:val="525866"/>
          <w:sz w:val="22"/>
        </w:rPr>
        <w:t xml:space="preserve"> ZS delivered strong Q3 results with ARR growth accelerating. AI Protect bookings crossed $100M over the trailing 12 months. → </w:t>
      </w:r>
      <w:r>
        <w:rPr>
          <w:rFonts w:ascii="Calibri" w:hAnsi="Calibri"/>
          <w:b/>
          <w:color w:val="525866"/>
          <w:sz w:val="22"/>
        </w:rPr>
        <w:t>Confirms robust enterprise security demand environment.</w:t>
      </w:r>
    </w:p>
    <w:p>
      <w:pPr>
        <w:pStyle w:val="ListBullet"/>
        <w:ind w:left="360" w:hanging="360"/>
      </w:pPr>
      <w:r>
        <w:rPr>
          <w:rFonts w:ascii="Calibri" w:hAnsi="Calibri"/>
          <w:b/>
          <w:color w:val="525866"/>
          <w:sz w:val="22"/>
        </w:rPr>
        <w:t>AI security spending is additive to budgets:</w:t>
      </w:r>
      <w:r>
        <w:rPr>
          <w:rFonts w:ascii="Calibri" w:hAnsi="Calibri"/>
          <w:color w:val="525866"/>
          <w:sz w:val="22"/>
        </w:rPr>
        <w:t xml:space="preserve"> Customer CISOs confirmed AI security spending is “not taking anything away from IT or security itself — it’s just additional funding coming in from the business.” One CISO stated: “Right now, it’s not cutting anything. It’s an addition to the budget.” → </w:t>
      </w:r>
      <w:r>
        <w:rPr>
          <w:rFonts w:ascii="Calibri" w:hAnsi="Calibri"/>
          <w:b/>
          <w:color w:val="525866"/>
          <w:sz w:val="22"/>
        </w:rPr>
        <w:t>Strongly supports F5’s thesis that AI security is incremental spend.</w:t>
      </w:r>
    </w:p>
    <w:p>
      <w:pPr>
        <w:pStyle w:val="ListBullet"/>
        <w:ind w:left="360" w:hanging="360"/>
      </w:pPr>
      <w:r>
        <w:rPr>
          <w:rFonts w:ascii="Calibri" w:hAnsi="Calibri"/>
          <w:b/>
          <w:color w:val="525866"/>
          <w:sz w:val="22"/>
        </w:rPr>
        <w:t>Memory/SSD cost pressures confirmed across the industry:</w:t>
      </w:r>
      <w:r>
        <w:rPr>
          <w:rFonts w:ascii="Calibri" w:hAnsi="Calibri"/>
          <w:color w:val="525866"/>
          <w:sz w:val="22"/>
        </w:rPr>
        <w:t xml:space="preserve"> ZS management noted: “This situation is fairly unique. It’s created by all these AI data centers that’s causing such a shortage of so many parts,” leading to increased memory, storage, and processor prices impacting CapEx. → </w:t>
      </w:r>
      <w:r>
        <w:rPr>
          <w:rFonts w:ascii="Calibri" w:hAnsi="Calibri"/>
          <w:b/>
          <w:color w:val="525866"/>
          <w:sz w:val="22"/>
        </w:rPr>
        <w:t>Corroborates F5’s gross margin headwind narrative; not company-specific.</w:t>
      </w:r>
    </w:p>
    <w:p>
      <w:pPr>
        <w:pStyle w:val="ListBullet"/>
        <w:ind w:left="360" w:hanging="360"/>
      </w:pPr>
      <w:r>
        <w:rPr>
          <w:rFonts w:ascii="Calibri" w:hAnsi="Calibri"/>
          <w:b/>
          <w:color w:val="525866"/>
          <w:sz w:val="22"/>
        </w:rPr>
        <w:t>Zero Trust Everywhere adoption accelerating:</w:t>
      </w:r>
      <w:r>
        <w:rPr>
          <w:rFonts w:ascii="Calibri" w:hAnsi="Calibri"/>
          <w:color w:val="525866"/>
          <w:sz w:val="22"/>
        </w:rPr>
        <w:t xml:space="preserve"> ZS exited Q3 with 700+ Zero Trust Everywhere enterprises (vs. 550 in Q2), with large deal value from $1M+ deals in APJ up 150%+ YoY. → </w:t>
      </w:r>
      <w:r>
        <w:rPr>
          <w:rFonts w:ascii="Calibri" w:hAnsi="Calibri"/>
          <w:b/>
          <w:color w:val="525866"/>
          <w:sz w:val="22"/>
        </w:rPr>
        <w:t>Validates the hybrid multi-cloud security consolidation trend that benefits F5.</w:t>
      </w:r>
    </w:p>
    <w:p>
      <w:pPr>
        <w:pStyle w:val="ListBullet"/>
        <w:ind w:left="360" w:hanging="360"/>
      </w:pPr>
      <w:r>
        <w:rPr>
          <w:rFonts w:ascii="Calibri" w:hAnsi="Calibri"/>
          <w:b/>
          <w:color w:val="525866"/>
          <w:sz w:val="22"/>
        </w:rPr>
        <w:t>FY2027 ARR and revenue growth guided at 16–17%:</w:t>
      </w:r>
      <w:r>
        <w:rPr>
          <w:rFonts w:ascii="Calibri" w:hAnsi="Calibri"/>
          <w:color w:val="525866"/>
          <w:sz w:val="22"/>
        </w:rPr>
        <w:t xml:space="preserve"> ZS provided early FY2027 outlook, taking a tempered view on new logos but confident in upsell momentum. → </w:t>
      </w:r>
      <w:r>
        <w:rPr>
          <w:rFonts w:ascii="Calibri" w:hAnsi="Calibri"/>
          <w:b/>
          <w:color w:val="525866"/>
          <w:sz w:val="22"/>
        </w:rPr>
        <w:t>Neutral read-through; ZS’s new logo challenges are not relevant to F5’s model.</w:t>
      </w:r>
    </w:p>
    <w:p>
      <w:pPr>
        <w:pStyle w:val="Heading3"/>
      </w:pPr>
      <w:r>
        <w:rPr>
          <w:rFonts w:ascii="Calibri" w:hAnsi="Calibri"/>
          <w:b/>
          <w:color w:val="3B4259"/>
          <w:sz w:val="24"/>
        </w:rPr>
        <w:t>Zscaler (ZS) — Zenith Live Investor Session (June 9, 2026)</w:t>
      </w:r>
    </w:p>
    <w:p>
      <w:r>
        <w:rPr>
          <w:rFonts w:ascii="Calibri" w:hAnsi="Calibri"/>
          <w:b/>
          <w:color w:val="525866"/>
          <w:sz w:val="22"/>
        </w:rPr>
        <w:t xml:space="preserve">Relevance to FFIV: </w:t>
      </w:r>
      <w:r>
        <w:rPr>
          <w:rFonts w:ascii="Calibri" w:hAnsi="Calibri"/>
          <w:color w:val="525866"/>
          <w:sz w:val="22"/>
        </w:rPr>
        <w:t>Medium — Customer panel commentary provides ground-level validation of enterprise security spending trends.</w:t>
      </w:r>
    </w:p>
    <w:p>
      <w:pPr>
        <w:pStyle w:val="ListBullet"/>
        <w:ind w:left="360" w:hanging="360"/>
      </w:pPr>
      <w:r>
        <w:rPr>
          <w:rFonts w:ascii="Calibri" w:hAnsi="Calibri"/>
          <w:b/>
          <w:color w:val="525866"/>
          <w:sz w:val="22"/>
        </w:rPr>
        <w:t>Board-level urgency on AI security is unprecedented:</w:t>
      </w:r>
      <w:r>
        <w:rPr>
          <w:rFonts w:ascii="Calibri" w:hAnsi="Calibri"/>
          <w:color w:val="525866"/>
          <w:sz w:val="22"/>
        </w:rPr>
        <w:t xml:space="preserve"> CEO Jay Chaudhry noted: “Almost every CIO I’ve talked to, a CISO, they said we’ve got a task force. We are reporting to the Board every week or every 2 weeks on the progress.” → </w:t>
      </w:r>
      <w:r>
        <w:rPr>
          <w:rFonts w:ascii="Calibri" w:hAnsi="Calibri"/>
          <w:b/>
          <w:color w:val="525866"/>
          <w:sz w:val="22"/>
        </w:rPr>
        <w:t>Validates F5’s commentary on a ‘step change’ in customer security engagement.</w:t>
      </w:r>
    </w:p>
    <w:p>
      <w:pPr>
        <w:pStyle w:val="ListBullet"/>
        <w:ind w:left="360" w:hanging="360"/>
      </w:pPr>
      <w:r>
        <w:rPr>
          <w:rFonts w:ascii="Calibri" w:hAnsi="Calibri"/>
          <w:b/>
          <w:color w:val="525866"/>
          <w:sz w:val="22"/>
        </w:rPr>
        <w:t>AI security is ‘Zscaler’s moment’ — comparable to COVID for cloud:</w:t>
      </w:r>
      <w:r>
        <w:rPr>
          <w:rFonts w:ascii="Calibri" w:hAnsi="Calibri"/>
          <w:color w:val="525866"/>
          <w:sz w:val="22"/>
        </w:rPr>
        <w:t xml:space="preserve"> Management compared the current AI security urgency to the COVID-driven cloud adoption wave, calling it “even bigger from a cyber point of view.” → </w:t>
      </w:r>
      <w:r>
        <w:rPr>
          <w:rFonts w:ascii="Calibri" w:hAnsi="Calibri"/>
          <w:b/>
          <w:color w:val="525866"/>
          <w:sz w:val="22"/>
        </w:rPr>
        <w:t>Supports the structural, multi-year nature of the AI security demand tailwind for F5.</w:t>
      </w:r>
    </w:p>
    <w:p>
      <w:pPr>
        <w:pStyle w:val="ListBullet"/>
        <w:ind w:left="360" w:hanging="360"/>
      </w:pPr>
      <w:r>
        <w:rPr>
          <w:rFonts w:ascii="Calibri" w:hAnsi="Calibri"/>
          <w:b/>
          <w:color w:val="525866"/>
          <w:sz w:val="22"/>
        </w:rPr>
        <w:t>Governance and data security are the #1 barrier to AI rollout:</w:t>
      </w:r>
      <w:r>
        <w:rPr>
          <w:rFonts w:ascii="Calibri" w:hAnsi="Calibri"/>
          <w:color w:val="525866"/>
          <w:sz w:val="22"/>
        </w:rPr>
        <w:t xml:space="preserve"> The primary reason enterprises cannot roll out agentic AI at scale is “lack of governance and data security issues.” → </w:t>
      </w:r>
      <w:r>
        <w:rPr>
          <w:rFonts w:ascii="Calibri" w:hAnsi="Calibri"/>
          <w:b/>
          <w:color w:val="525866"/>
          <w:sz w:val="22"/>
        </w:rPr>
        <w:t>Directly supports demand for F5’s Agentic Bot Defense and AI Guardrails products.</w:t>
      </w:r>
    </w:p>
    <w:p>
      <w:pPr>
        <w:pStyle w:val="Heading3"/>
      </w:pPr>
      <w:r>
        <w:rPr>
          <w:rFonts w:ascii="Calibri" w:hAnsi="Calibri"/>
          <w:b/>
          <w:color w:val="3B4259"/>
          <w:sz w:val="24"/>
        </w:rPr>
        <w:t>Cloudflare (NET) — Investor Day (June 9, 2026)</w:t>
      </w:r>
    </w:p>
    <w:p>
      <w:r>
        <w:rPr>
          <w:rFonts w:ascii="Calibri" w:hAnsi="Calibri"/>
          <w:b/>
          <w:color w:val="525866"/>
          <w:sz w:val="22"/>
        </w:rPr>
        <w:t xml:space="preserve">Relevance to FFIV: </w:t>
      </w:r>
      <w:r>
        <w:rPr>
          <w:rFonts w:ascii="Calibri" w:hAnsi="Calibri"/>
          <w:color w:val="525866"/>
          <w:sz w:val="22"/>
        </w:rPr>
        <w:t>Medium — NET is a cloud-native application delivery and security peer. Its commentary on AI-driven traffic growth and developer platform momentum is relevant to F5’s distributed cloud and AI data delivery narratives.</w:t>
      </w:r>
    </w:p>
    <w:p>
      <w:pPr>
        <w:pStyle w:val="ListBullet"/>
        <w:ind w:left="360" w:hanging="360"/>
      </w:pPr>
      <w:r>
        <w:rPr>
          <w:rFonts w:ascii="Calibri" w:hAnsi="Calibri"/>
          <w:b/>
          <w:color w:val="525866"/>
          <w:sz w:val="22"/>
        </w:rPr>
        <w:t>Agentic traffic on Cloudflare’s network grew 700%:</w:t>
      </w:r>
      <w:r>
        <w:rPr>
          <w:rFonts w:ascii="Calibri" w:hAnsi="Calibri"/>
          <w:color w:val="525866"/>
          <w:sz w:val="22"/>
        </w:rPr>
        <w:t xml:space="preserve"> President of Revenue Mark Anderson cited 700% growth in agentic traffic, with organizations moving from pilots to production “every single day.” → </w:t>
      </w:r>
      <w:r>
        <w:rPr>
          <w:rFonts w:ascii="Calibri" w:hAnsi="Calibri"/>
          <w:b/>
          <w:color w:val="525866"/>
          <w:sz w:val="22"/>
        </w:rPr>
        <w:t>Validates F5’s AI inference inflection thesis and the growing need for AI traffic management and security.</w:t>
      </w:r>
    </w:p>
    <w:p>
      <w:pPr>
        <w:pStyle w:val="ListBullet"/>
        <w:ind w:left="360" w:hanging="360"/>
      </w:pPr>
      <w:r>
        <w:rPr>
          <w:rFonts w:ascii="Calibri" w:hAnsi="Calibri"/>
          <w:b/>
          <w:color w:val="525866"/>
          <w:sz w:val="22"/>
        </w:rPr>
        <w:t>Security modernization urgency is at an all-time high:</w:t>
      </w:r>
      <w:r>
        <w:rPr>
          <w:rFonts w:ascii="Calibri" w:hAnsi="Calibri"/>
          <w:color w:val="525866"/>
          <w:sz w:val="22"/>
        </w:rPr>
        <w:t xml:space="preserve"> CEO Matthew Prince stated: “For the next two years, every security company is going to be wildly busy.” CISOs are experiencing “fear” due to ineffective legacy security approaches. → </w:t>
      </w:r>
      <w:r>
        <w:rPr>
          <w:rFonts w:ascii="Calibri" w:hAnsi="Calibri"/>
          <w:b/>
          <w:color w:val="525866"/>
          <w:sz w:val="22"/>
        </w:rPr>
        <w:t>Broad positive read-through for F5’s security business.</w:t>
      </w:r>
    </w:p>
    <w:p>
      <w:pPr>
        <w:pStyle w:val="ListBullet"/>
        <w:ind w:left="360" w:hanging="360"/>
      </w:pPr>
      <w:r>
        <w:rPr>
          <w:rFonts w:ascii="Calibri" w:hAnsi="Calibri"/>
          <w:b/>
          <w:color w:val="525866"/>
          <w:sz w:val="22"/>
        </w:rPr>
        <w:t>IT budgets are flat but AI spending is accelerating:</w:t>
      </w:r>
      <w:r>
        <w:rPr>
          <w:rFonts w:ascii="Calibri" w:hAnsi="Calibri"/>
          <w:color w:val="525866"/>
          <w:sz w:val="22"/>
        </w:rPr>
        <w:t xml:space="preserve"> Anderson noted: “IT spending is growing modestly, headcount growth has slowed significantly in IT, and infosec and technology leaders aren’t being handed dramatically bigger budgets.” Yet “AI spending is accelerating,” with Gartner showing 90% of tech leaders expect to increase AI investments. → </w:t>
      </w:r>
      <w:r>
        <w:rPr>
          <w:rFonts w:ascii="Calibri" w:hAnsi="Calibri"/>
          <w:b/>
          <w:color w:val="525866"/>
          <w:sz w:val="22"/>
        </w:rPr>
        <w:t>Nuanced read-through: AI security is a priority even in constrained budgets, but overall IT spending is not surging.</w:t>
      </w:r>
    </w:p>
    <w:p>
      <w:pPr>
        <w:pStyle w:val="ListBullet"/>
        <w:ind w:left="360" w:hanging="360"/>
      </w:pPr>
      <w:r>
        <w:rPr>
          <w:rFonts w:ascii="Calibri" w:hAnsi="Calibri"/>
          <w:b/>
          <w:color w:val="525866"/>
          <w:sz w:val="22"/>
        </w:rPr>
        <w:t>Revenue growth north of 37%; carry-forward pipeline up 40% YoY:</w:t>
      </w:r>
      <w:r>
        <w:rPr>
          <w:rFonts w:ascii="Calibri" w:hAnsi="Calibri"/>
          <w:color w:val="525866"/>
          <w:sz w:val="22"/>
        </w:rPr>
        <w:t xml:space="preserve"> Cloudflare CFO disclosed Q1 2026 carry-forward pipeline up 40% YoY, with revenue growing 37%+. → </w:t>
      </w:r>
      <w:r>
        <w:rPr>
          <w:rFonts w:ascii="Calibri" w:hAnsi="Calibri"/>
          <w:b/>
          <w:color w:val="525866"/>
          <w:sz w:val="22"/>
        </w:rPr>
        <w:t>Positive signal for the broader application delivery and security market.</w:t>
      </w:r>
    </w:p>
    <w:p>
      <w:pPr>
        <w:pStyle w:val="Heading3"/>
      </w:pPr>
      <w:r>
        <w:rPr>
          <w:rFonts w:ascii="Calibri" w:hAnsi="Calibri"/>
          <w:b/>
          <w:color w:val="3B4259"/>
          <w:sz w:val="24"/>
        </w:rPr>
        <w:t>Arista Networks (ANET) — AI Fabrics Webinar (June 25, 2026)</w:t>
      </w:r>
    </w:p>
    <w:p>
      <w:r>
        <w:rPr>
          <w:rFonts w:ascii="Calibri" w:hAnsi="Calibri"/>
          <w:b/>
          <w:color w:val="525866"/>
          <w:sz w:val="22"/>
        </w:rPr>
        <w:t xml:space="preserve">Relevance to FFIV: </w:t>
      </w:r>
      <w:r>
        <w:rPr>
          <w:rFonts w:ascii="Calibri" w:hAnsi="Calibri"/>
          <w:color w:val="525866"/>
          <w:sz w:val="22"/>
        </w:rPr>
        <w:t>Low-Medium — ANET focuses on hyperscale AI networking (not enterprise application delivery), but its commentary on AI infrastructure spending and data center modernization provides useful macro context.</w:t>
      </w:r>
    </w:p>
    <w:p>
      <w:pPr>
        <w:pStyle w:val="ListBullet"/>
        <w:ind w:left="360" w:hanging="360"/>
      </w:pPr>
      <w:r>
        <w:rPr>
          <w:rFonts w:ascii="Calibri" w:hAnsi="Calibri"/>
          <w:b/>
          <w:color w:val="525866"/>
          <w:sz w:val="22"/>
        </w:rPr>
        <w:t>AI driving rapid Ethernet speed evolution (400G → 800G → 1.6T):</w:t>
      </w:r>
      <w:r>
        <w:rPr>
          <w:rFonts w:ascii="Calibri" w:hAnsi="Calibri"/>
          <w:color w:val="525866"/>
          <w:sz w:val="22"/>
        </w:rPr>
        <w:t xml:space="preserve"> ANET introduced its 7060 XC seven series with 1.6TB switching capacity, citing AI growth as the primary driver of Ethernet innovation acceleration. → </w:t>
      </w:r>
      <w:r>
        <w:rPr>
          <w:rFonts w:ascii="Calibri" w:hAnsi="Calibri"/>
          <w:b/>
          <w:color w:val="525866"/>
          <w:sz w:val="22"/>
        </w:rPr>
        <w:t>Confirms the AI data center build-out cycle is ongoing and accelerating, supporting F5’s AI factory load balancing opportunity.</w:t>
      </w:r>
    </w:p>
    <w:p>
      <w:pPr>
        <w:pStyle w:val="ListBullet"/>
        <w:ind w:left="360" w:hanging="360"/>
      </w:pPr>
      <w:r>
        <w:rPr>
          <w:rFonts w:ascii="Calibri" w:hAnsi="Calibri"/>
          <w:b/>
          <w:color w:val="525866"/>
          <w:sz w:val="22"/>
        </w:rPr>
        <w:t>Rack-scale AI infrastructure is the new paradigm:</w:t>
      </w:r>
      <w:r>
        <w:rPr>
          <w:rFonts w:ascii="Calibri" w:hAnsi="Calibri"/>
          <w:color w:val="525866"/>
          <w:sz w:val="22"/>
        </w:rPr>
        <w:t xml:space="preserve"> “The network is no longer just a connectivity layer. It is the critical backbone of the AI system itself.” Liquid cooling and tighter compute-network integration are becoming standard. → </w:t>
      </w:r>
      <w:r>
        <w:rPr>
          <w:rFonts w:ascii="Calibri" w:hAnsi="Calibri"/>
          <w:b/>
          <w:color w:val="525866"/>
          <w:sz w:val="22"/>
        </w:rPr>
        <w:t>Validates F5’s positioning as a critical component in AI factory infrastructure.</w:t>
      </w:r>
    </w:p>
    <w:p>
      <w:pPr>
        <w:pStyle w:val="ListBullet"/>
        <w:ind w:left="360" w:hanging="360"/>
      </w:pPr>
      <w:r>
        <w:rPr>
          <w:rFonts w:ascii="Calibri" w:hAnsi="Calibri"/>
          <w:b/>
          <w:color w:val="525866"/>
          <w:sz w:val="22"/>
        </w:rPr>
        <w:t>Software is the real differentiator in AI networking:</w:t>
      </w:r>
      <w:r>
        <w:rPr>
          <w:rFonts w:ascii="Calibri" w:hAnsi="Calibri"/>
          <w:color w:val="525866"/>
          <w:sz w:val="22"/>
        </w:rPr>
        <w:t xml:space="preserve"> ANET emphasized that “software most often becomes the real differentiator” in AI networking, with operational simplicity and automation being crucial. → </w:t>
      </w:r>
      <w:r>
        <w:rPr>
          <w:rFonts w:ascii="Calibri" w:hAnsi="Calibri"/>
          <w:b/>
          <w:color w:val="525866"/>
          <w:sz w:val="22"/>
        </w:rPr>
        <w:t>Supports F5’s software-defined approach to AI load balancing and its NVIDIA BlueField integration.</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Date</w:t>
            </w:r>
          </w:p>
        </w:tc>
        <w:tc>
          <w:tcPr>
            <w:tcW w:type="dxa" w:w="2160"/>
            <w:shd w:val="clear" w:color="auto" w:fill="3B4259"/>
          </w:tcPr>
          <w:p>
            <w:r>
              <w:rPr>
                <w:rFonts w:ascii="Calibri" w:hAnsi="Calibri"/>
                <w:b/>
                <w:color w:val="FFFFFF"/>
                <w:sz w:val="22"/>
              </w:rPr>
              <w:t>Key Read-Through for FFIV</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PANW</w:t>
            </w:r>
          </w:p>
        </w:tc>
        <w:tc>
          <w:tcPr>
            <w:tcW w:type="dxa" w:w="2160"/>
          </w:tcPr>
          <w:p>
            <w:r>
              <w:rPr>
                <w:rFonts w:ascii="Calibri" w:hAnsi="Calibri"/>
                <w:sz w:val="22"/>
              </w:rPr>
              <w:t>Jun 2, 2026</w:t>
            </w:r>
          </w:p>
        </w:tc>
        <w:tc>
          <w:tcPr>
            <w:tcW w:type="dxa" w:w="2160"/>
          </w:tcPr>
          <w:p>
            <w:r>
              <w:rPr>
                <w:rFonts w:ascii="Calibri" w:hAnsi="Calibri"/>
                <w:sz w:val="22"/>
              </w:rPr>
              <w:t>Strongest hardware quarter in a decade; firewall bookings +40% YoY; AI data center wins; SASE ARR +40%</w:t>
            </w:r>
          </w:p>
        </w:tc>
        <w:tc>
          <w:tcPr>
            <w:tcW w:type="dxa" w:w="2160"/>
          </w:tcPr>
          <w:p>
            <w:r>
              <w:rPr>
                <w:rFonts w:ascii="Calibri" w:hAnsi="Calibri"/>
                <w:b/>
                <w:color w:val="30A46C"/>
                <w:sz w:val="22"/>
              </w:rPr>
              <w:t>Positive</w:t>
            </w:r>
          </w:p>
        </w:tc>
      </w:tr>
      <w:tr>
        <w:tc>
          <w:tcPr>
            <w:tcW w:type="dxa" w:w="2160"/>
          </w:tcPr>
          <w:p>
            <w:r>
              <w:rPr>
                <w:rFonts w:ascii="Calibri" w:hAnsi="Calibri"/>
                <w:sz w:val="22"/>
              </w:rPr>
              <w:t>CRWD</w:t>
            </w:r>
          </w:p>
        </w:tc>
        <w:tc>
          <w:tcPr>
            <w:tcW w:type="dxa" w:w="2160"/>
          </w:tcPr>
          <w:p>
            <w:r>
              <w:rPr>
                <w:rFonts w:ascii="Calibri" w:hAnsi="Calibri"/>
                <w:sz w:val="22"/>
              </w:rPr>
              <w:t>Jun 3, 2026</w:t>
            </w:r>
          </w:p>
        </w:tc>
        <w:tc>
          <w:tcPr>
            <w:tcW w:type="dxa" w:w="2160"/>
          </w:tcPr>
          <w:p>
            <w:r>
              <w:rPr>
                <w:rFonts w:ascii="Calibri" w:hAnsi="Calibri"/>
                <w:sz w:val="22"/>
              </w:rPr>
              <w:t>Record net new ARR; Mythos moment driving incremental AI security budgets; agentic AI creating greenfield demand</w:t>
            </w:r>
          </w:p>
        </w:tc>
        <w:tc>
          <w:tcPr>
            <w:tcW w:type="dxa" w:w="2160"/>
          </w:tcPr>
          <w:p>
            <w:r>
              <w:rPr>
                <w:rFonts w:ascii="Calibri" w:hAnsi="Calibri"/>
                <w:b/>
                <w:color w:val="30A46C"/>
                <w:sz w:val="22"/>
              </w:rPr>
              <w:t>Positive</w:t>
            </w:r>
          </w:p>
        </w:tc>
      </w:tr>
      <w:tr>
        <w:tc>
          <w:tcPr>
            <w:tcW w:type="dxa" w:w="2160"/>
          </w:tcPr>
          <w:p>
            <w:r>
              <w:rPr>
                <w:rFonts w:ascii="Calibri" w:hAnsi="Calibri"/>
                <w:sz w:val="22"/>
              </w:rPr>
              <w:t>ZS</w:t>
            </w:r>
          </w:p>
        </w:tc>
        <w:tc>
          <w:tcPr>
            <w:tcW w:type="dxa" w:w="2160"/>
          </w:tcPr>
          <w:p>
            <w:r>
              <w:rPr>
                <w:rFonts w:ascii="Calibri" w:hAnsi="Calibri"/>
                <w:sz w:val="22"/>
              </w:rPr>
              <w:t>May 26, 2026</w:t>
            </w:r>
          </w:p>
        </w:tc>
        <w:tc>
          <w:tcPr>
            <w:tcW w:type="dxa" w:w="2160"/>
          </w:tcPr>
          <w:p>
            <w:r>
              <w:rPr>
                <w:rFonts w:ascii="Calibri" w:hAnsi="Calibri"/>
                <w:sz w:val="22"/>
              </w:rPr>
              <w:t>ARR +25%; AI security budgets additive; memory cost pressures confirmed as industry-wide (not F5-specific)</w:t>
            </w:r>
          </w:p>
        </w:tc>
        <w:tc>
          <w:tcPr>
            <w:tcW w:type="dxa" w:w="2160"/>
          </w:tcPr>
          <w:p>
            <w:r>
              <w:rPr>
                <w:rFonts w:ascii="Calibri" w:hAnsi="Calibri"/>
                <w:b/>
                <w:color w:val="30A46C"/>
                <w:sz w:val="22"/>
              </w:rPr>
              <w:t>Positive</w:t>
            </w:r>
          </w:p>
        </w:tc>
      </w:tr>
      <w:tr>
        <w:tc>
          <w:tcPr>
            <w:tcW w:type="dxa" w:w="2160"/>
          </w:tcPr>
          <w:p>
            <w:r>
              <w:rPr>
                <w:rFonts w:ascii="Calibri" w:hAnsi="Calibri"/>
                <w:sz w:val="22"/>
              </w:rPr>
              <w:t>ZS (Investor Session)</w:t>
            </w:r>
          </w:p>
        </w:tc>
        <w:tc>
          <w:tcPr>
            <w:tcW w:type="dxa" w:w="2160"/>
          </w:tcPr>
          <w:p>
            <w:r>
              <w:rPr>
                <w:rFonts w:ascii="Calibri" w:hAnsi="Calibri"/>
                <w:sz w:val="22"/>
              </w:rPr>
              <w:t>Jun 9, 2026</w:t>
            </w:r>
          </w:p>
        </w:tc>
        <w:tc>
          <w:tcPr>
            <w:tcW w:type="dxa" w:w="2160"/>
          </w:tcPr>
          <w:p>
            <w:r>
              <w:rPr>
                <w:rFonts w:ascii="Calibri" w:hAnsi="Calibri"/>
                <w:sz w:val="22"/>
              </w:rPr>
              <w:t>Board-level AI security urgency unprecedented; governance/data security #1 barrier to AI rollout</w:t>
            </w:r>
          </w:p>
        </w:tc>
        <w:tc>
          <w:tcPr>
            <w:tcW w:type="dxa" w:w="2160"/>
          </w:tcPr>
          <w:p>
            <w:r>
              <w:rPr>
                <w:rFonts w:ascii="Calibri" w:hAnsi="Calibri"/>
                <w:b/>
                <w:color w:val="30A46C"/>
                <w:sz w:val="22"/>
              </w:rPr>
              <w:t>Positive</w:t>
            </w:r>
          </w:p>
        </w:tc>
      </w:tr>
      <w:tr>
        <w:tc>
          <w:tcPr>
            <w:tcW w:type="dxa" w:w="2160"/>
          </w:tcPr>
          <w:p>
            <w:r>
              <w:rPr>
                <w:rFonts w:ascii="Calibri" w:hAnsi="Calibri"/>
                <w:sz w:val="22"/>
              </w:rPr>
              <w:t>NET</w:t>
            </w:r>
          </w:p>
        </w:tc>
        <w:tc>
          <w:tcPr>
            <w:tcW w:type="dxa" w:w="2160"/>
          </w:tcPr>
          <w:p>
            <w:r>
              <w:rPr>
                <w:rFonts w:ascii="Calibri" w:hAnsi="Calibri"/>
                <w:sz w:val="22"/>
              </w:rPr>
              <w:t>Jun 9, 2026</w:t>
            </w:r>
          </w:p>
        </w:tc>
        <w:tc>
          <w:tcPr>
            <w:tcW w:type="dxa" w:w="2160"/>
          </w:tcPr>
          <w:p>
            <w:r>
              <w:rPr>
                <w:rFonts w:ascii="Calibri" w:hAnsi="Calibri"/>
                <w:sz w:val="22"/>
              </w:rPr>
              <w:t>Agentic traffic +700%; security modernization urgency at all-time high; pipeline up 40% YoY; flat IT budgets but AI spend accelerating</w:t>
            </w:r>
          </w:p>
        </w:tc>
        <w:tc>
          <w:tcPr>
            <w:tcW w:type="dxa" w:w="2160"/>
          </w:tcPr>
          <w:p>
            <w:r>
              <w:rPr>
                <w:rFonts w:ascii="Calibri" w:hAnsi="Calibri"/>
                <w:b/>
                <w:color w:val="30A46C"/>
                <w:sz w:val="22"/>
              </w:rPr>
              <w:t>Positive (with nuance)</w:t>
            </w:r>
          </w:p>
        </w:tc>
      </w:tr>
      <w:tr>
        <w:tc>
          <w:tcPr>
            <w:tcW w:type="dxa" w:w="2160"/>
          </w:tcPr>
          <w:p>
            <w:r>
              <w:rPr>
                <w:rFonts w:ascii="Calibri" w:hAnsi="Calibri"/>
                <w:sz w:val="22"/>
              </w:rPr>
              <w:t>ANET</w:t>
            </w:r>
          </w:p>
        </w:tc>
        <w:tc>
          <w:tcPr>
            <w:tcW w:type="dxa" w:w="2160"/>
          </w:tcPr>
          <w:p>
            <w:r>
              <w:rPr>
                <w:rFonts w:ascii="Calibri" w:hAnsi="Calibri"/>
                <w:sz w:val="22"/>
              </w:rPr>
              <w:t>Jun 25, 2026</w:t>
            </w:r>
          </w:p>
        </w:tc>
        <w:tc>
          <w:tcPr>
            <w:tcW w:type="dxa" w:w="2160"/>
          </w:tcPr>
          <w:p>
            <w:r>
              <w:rPr>
                <w:rFonts w:ascii="Calibri" w:hAnsi="Calibri"/>
                <w:sz w:val="22"/>
              </w:rPr>
              <w:t>AI driving rapid data center infrastructure build-out; software is the differentiator in AI networking; rack-scale AI is the new paradigm</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the Q2 earnings print are </w:t>
      </w:r>
      <w:r>
        <w:rPr>
          <w:rFonts w:ascii="Calibri" w:hAnsi="Calibri"/>
          <w:b/>
          <w:color w:val="525866"/>
          <w:sz w:val="22"/>
        </w:rPr>
        <w:t>sales</w:t>
      </w:r>
      <w:r>
        <w:rPr>
          <w:rFonts w:ascii="Calibri" w:hAnsi="Calibri"/>
          <w:color w:val="525866"/>
          <w:sz w:val="22"/>
        </w:rPr>
        <w:t xml:space="preserve">, with the vast majority executed under pre-established 10b5-1 plans — routine and obligation-driven. The one exception is a discretionary open-market sale by Director Elizabeth Buse on June 10, which is worth noting but is a small transaction (1,000 shares). </w:t>
      </w:r>
      <w:r>
        <w:rPr>
          <w:rFonts w:ascii="Calibri" w:hAnsi="Calibri"/>
          <w:b/>
          <w:color w:val="525866"/>
          <w:sz w:val="22"/>
        </w:rPr>
        <w:t>No open-market buys</w:t>
      </w:r>
      <w:r>
        <w:rPr>
          <w:rFonts w:ascii="Calibri" w:hAnsi="Calibri"/>
          <w:color w:val="525866"/>
          <w:sz w:val="22"/>
        </w:rPr>
        <w:t xml:space="preserve"> have been filed. The absence of discretionary buying at these elevated price levels is not alarming given the 10b5-1 plan context, but the lack of any insider accumulation is a mild negative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Elizabeth Buse</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1,000</w:t>
            </w:r>
          </w:p>
        </w:tc>
        <w:tc>
          <w:tcPr>
            <w:tcW w:type="dxa" w:w="1440"/>
          </w:tcPr>
          <w:p>
            <w:r>
              <w:rPr>
                <w:rFonts w:ascii="Calibri" w:hAnsi="Calibri"/>
                <w:sz w:val="22"/>
              </w:rPr>
              <w:t>Jun 10, 2026</w:t>
            </w:r>
          </w:p>
        </w:tc>
        <w:tc>
          <w:tcPr>
            <w:tcW w:type="dxa" w:w="1440"/>
          </w:tcPr>
          <w:p>
            <w:r>
              <w:rPr>
                <w:rFonts w:ascii="Calibri" w:hAnsi="Calibri"/>
                <w:sz w:val="22"/>
              </w:rPr>
              <w:t>Discretionary sale (no 10b5-1 plan); small size; 4,947 shares remaining</w:t>
            </w:r>
          </w:p>
        </w:tc>
      </w:tr>
      <w:tr>
        <w:tc>
          <w:tcPr>
            <w:tcW w:type="dxa" w:w="1440"/>
          </w:tcPr>
          <w:p>
            <w:r>
              <w:rPr>
                <w:rFonts w:ascii="Calibri" w:hAnsi="Calibri"/>
                <w:sz w:val="22"/>
              </w:rPr>
              <w:t>Edward Cooper Werner</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2,500</w:t>
            </w:r>
          </w:p>
        </w:tc>
        <w:tc>
          <w:tcPr>
            <w:tcW w:type="dxa" w:w="1440"/>
          </w:tcPr>
          <w:p>
            <w:r>
              <w:rPr>
                <w:rFonts w:ascii="Calibri" w:hAnsi="Calibri"/>
                <w:sz w:val="22"/>
              </w:rPr>
              <w:t>Jun 2, 2026</w:t>
            </w:r>
          </w:p>
        </w:tc>
        <w:tc>
          <w:tcPr>
            <w:tcW w:type="dxa" w:w="1440"/>
          </w:tcPr>
          <w:p>
            <w:r>
              <w:rPr>
                <w:rFonts w:ascii="Calibri" w:hAnsi="Calibri"/>
                <w:sz w:val="22"/>
              </w:rPr>
              <w:t>Pre-planned; 406 shares remaining post-sale</w:t>
            </w:r>
          </w:p>
        </w:tc>
      </w:tr>
      <w:tr>
        <w:tc>
          <w:tcPr>
            <w:tcW w:type="dxa" w:w="1440"/>
          </w:tcPr>
          <w:p>
            <w:r>
              <w:rPr>
                <w:rFonts w:ascii="Calibri" w:hAnsi="Calibri"/>
                <w:sz w:val="22"/>
              </w:rPr>
              <w:t>Edward Cooper Werner</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1,500</w:t>
            </w:r>
          </w:p>
        </w:tc>
        <w:tc>
          <w:tcPr>
            <w:tcW w:type="dxa" w:w="1440"/>
          </w:tcPr>
          <w:p>
            <w:r>
              <w:rPr>
                <w:rFonts w:ascii="Calibri" w:hAnsi="Calibri"/>
                <w:sz w:val="22"/>
              </w:rPr>
              <w:t>May 8, 2026</w:t>
            </w:r>
          </w:p>
        </w:tc>
        <w:tc>
          <w:tcPr>
            <w:tcW w:type="dxa" w:w="1440"/>
          </w:tcPr>
          <w:p>
            <w:r>
              <w:rPr>
                <w:rFonts w:ascii="Calibri" w:hAnsi="Calibri"/>
                <w:sz w:val="22"/>
              </w:rPr>
              <w:t>Pre-planned; routine plan execution</w:t>
            </w:r>
          </w:p>
        </w:tc>
      </w:tr>
      <w:tr>
        <w:tc>
          <w:tcPr>
            <w:tcW w:type="dxa" w:w="1440"/>
          </w:tcPr>
          <w:p>
            <w:r>
              <w:rPr>
                <w:rFonts w:ascii="Calibri" w:hAnsi="Calibri"/>
                <w:sz w:val="22"/>
              </w:rPr>
              <w:t>Chad Michael Whalen</w:t>
            </w:r>
          </w:p>
        </w:tc>
        <w:tc>
          <w:tcPr>
            <w:tcW w:type="dxa" w:w="1440"/>
          </w:tcPr>
          <w:p>
            <w:r>
              <w:rPr>
                <w:rFonts w:ascii="Calibri" w:hAnsi="Calibri"/>
                <w:sz w:val="22"/>
              </w:rPr>
              <w:t>EVP, Worldwide Sales</w:t>
            </w:r>
          </w:p>
        </w:tc>
        <w:tc>
          <w:tcPr>
            <w:tcW w:type="dxa" w:w="1440"/>
          </w:tcPr>
          <w:p>
            <w:r>
              <w:rPr>
                <w:rFonts w:ascii="Calibri" w:hAnsi="Calibri"/>
                <w:sz w:val="22"/>
              </w:rPr>
              <w:t>10b5-1 Planned Sale</w:t>
            </w:r>
          </w:p>
        </w:tc>
        <w:tc>
          <w:tcPr>
            <w:tcW w:type="dxa" w:w="1440"/>
          </w:tcPr>
          <w:p>
            <w:r>
              <w:rPr>
                <w:rFonts w:ascii="Calibri" w:hAnsi="Calibri"/>
                <w:sz w:val="22"/>
              </w:rPr>
              <w:t>6,200</w:t>
            </w:r>
          </w:p>
        </w:tc>
        <w:tc>
          <w:tcPr>
            <w:tcW w:type="dxa" w:w="1440"/>
          </w:tcPr>
          <w:p>
            <w:r>
              <w:rPr>
                <w:rFonts w:ascii="Calibri" w:hAnsi="Calibri"/>
                <w:sz w:val="22"/>
              </w:rPr>
              <w:t>May 8, 2026</w:t>
            </w:r>
          </w:p>
        </w:tc>
        <w:tc>
          <w:tcPr>
            <w:tcW w:type="dxa" w:w="1440"/>
          </w:tcPr>
          <w:p>
            <w:r>
              <w:rPr>
                <w:rFonts w:ascii="Calibri" w:hAnsi="Calibri"/>
                <w:sz w:val="22"/>
              </w:rPr>
              <w:t>Pre-planned; 20,832 shares remaining</w:t>
            </w:r>
          </w:p>
        </w:tc>
      </w:tr>
      <w:tr>
        <w:tc>
          <w:tcPr>
            <w:tcW w:type="dxa" w:w="1440"/>
          </w:tcPr>
          <w:p>
            <w:r>
              <w:rPr>
                <w:rFonts w:ascii="Calibri" w:hAnsi="Calibri"/>
                <w:sz w:val="22"/>
              </w:rPr>
              <w:t>Thomas Dean Fountain</w:t>
            </w:r>
          </w:p>
        </w:tc>
        <w:tc>
          <w:tcPr>
            <w:tcW w:type="dxa" w:w="1440"/>
          </w:tcPr>
          <w:p>
            <w:r>
              <w:rPr>
                <w:rFonts w:ascii="Calibri" w:hAnsi="Calibri"/>
                <w:sz w:val="22"/>
              </w:rPr>
              <w:t>EVP Global Services &amp; Strategy</w:t>
            </w:r>
          </w:p>
        </w:tc>
        <w:tc>
          <w:tcPr>
            <w:tcW w:type="dxa" w:w="1440"/>
          </w:tcPr>
          <w:p>
            <w:r>
              <w:rPr>
                <w:rFonts w:ascii="Calibri" w:hAnsi="Calibri"/>
                <w:sz w:val="22"/>
              </w:rPr>
              <w:t>10b5-1 Planned Sale</w:t>
            </w:r>
          </w:p>
        </w:tc>
        <w:tc>
          <w:tcPr>
            <w:tcW w:type="dxa" w:w="1440"/>
          </w:tcPr>
          <w:p>
            <w:r>
              <w:rPr>
                <w:rFonts w:ascii="Calibri" w:hAnsi="Calibri"/>
                <w:sz w:val="22"/>
              </w:rPr>
              <w:t>1,328</w:t>
            </w:r>
          </w:p>
        </w:tc>
        <w:tc>
          <w:tcPr>
            <w:tcW w:type="dxa" w:w="1440"/>
          </w:tcPr>
          <w:p>
            <w:r>
              <w:rPr>
                <w:rFonts w:ascii="Calibri" w:hAnsi="Calibri"/>
                <w:sz w:val="22"/>
              </w:rPr>
              <w:t>May 5, 2026</w:t>
            </w:r>
          </w:p>
        </w:tc>
        <w:tc>
          <w:tcPr>
            <w:tcW w:type="dxa" w:w="1440"/>
          </w:tcPr>
          <w:p>
            <w:r>
              <w:rPr>
                <w:rFonts w:ascii="Calibri" w:hAnsi="Calibri"/>
                <w:sz w:val="22"/>
              </w:rPr>
              <w:t>Pre-planned; 8,060 shares remaining</w:t>
            </w:r>
          </w:p>
        </w:tc>
      </w:tr>
      <w:tr>
        <w:tc>
          <w:tcPr>
            <w:tcW w:type="dxa" w:w="1440"/>
          </w:tcPr>
          <w:p>
            <w:r>
              <w:rPr>
                <w:rFonts w:ascii="Calibri" w:hAnsi="Calibri"/>
                <w:sz w:val="22"/>
              </w:rPr>
              <w:t>Francois Locoh-Donou</w:t>
            </w:r>
          </w:p>
        </w:tc>
        <w:tc>
          <w:tcPr>
            <w:tcW w:type="dxa" w:w="1440"/>
          </w:tcPr>
          <w:p>
            <w:r>
              <w:rPr>
                <w:rFonts w:ascii="Calibri" w:hAnsi="Calibri"/>
                <w:sz w:val="22"/>
              </w:rPr>
              <w:t>President, CEO &amp; Director</w:t>
            </w:r>
          </w:p>
        </w:tc>
        <w:tc>
          <w:tcPr>
            <w:tcW w:type="dxa" w:w="1440"/>
          </w:tcPr>
          <w:p>
            <w:r>
              <w:rPr>
                <w:rFonts w:ascii="Calibri" w:hAnsi="Calibri"/>
                <w:sz w:val="22"/>
              </w:rPr>
              <w:t>10b5-1 Planned Sale</w:t>
            </w:r>
          </w:p>
        </w:tc>
        <w:tc>
          <w:tcPr>
            <w:tcW w:type="dxa" w:w="1440"/>
          </w:tcPr>
          <w:p>
            <w:r>
              <w:rPr>
                <w:rFonts w:ascii="Calibri" w:hAnsi="Calibri"/>
                <w:sz w:val="22"/>
              </w:rPr>
              <w:t>3,783</w:t>
            </w:r>
          </w:p>
        </w:tc>
        <w:tc>
          <w:tcPr>
            <w:tcW w:type="dxa" w:w="1440"/>
          </w:tcPr>
          <w:p>
            <w:r>
              <w:rPr>
                <w:rFonts w:ascii="Calibri" w:hAnsi="Calibri"/>
                <w:sz w:val="22"/>
              </w:rPr>
              <w:t>May 5, 2026</w:t>
            </w:r>
          </w:p>
        </w:tc>
        <w:tc>
          <w:tcPr>
            <w:tcW w:type="dxa" w:w="1440"/>
          </w:tcPr>
          <w:p>
            <w:r>
              <w:rPr>
                <w:rFonts w:ascii="Calibri" w:hAnsi="Calibri"/>
                <w:sz w:val="22"/>
              </w:rPr>
              <w:t>Pre-planned; 146,989 shares remaining; large remaining position</w:t>
            </w:r>
          </w:p>
        </w:tc>
      </w:tr>
      <w:tr>
        <w:tc>
          <w:tcPr>
            <w:tcW w:type="dxa" w:w="1440"/>
          </w:tcPr>
          <w:p>
            <w:r>
              <w:rPr>
                <w:rFonts w:ascii="Calibri" w:hAnsi="Calibri"/>
                <w:sz w:val="22"/>
              </w:rPr>
              <w:t>Kunal Anand</w:t>
            </w:r>
          </w:p>
        </w:tc>
        <w:tc>
          <w:tcPr>
            <w:tcW w:type="dxa" w:w="1440"/>
          </w:tcPr>
          <w:p>
            <w:r>
              <w:rPr>
                <w:rFonts w:ascii="Calibri" w:hAnsi="Calibri"/>
                <w:sz w:val="22"/>
              </w:rPr>
              <w:t>Chief Technology Officer</w:t>
            </w:r>
          </w:p>
        </w:tc>
        <w:tc>
          <w:tcPr>
            <w:tcW w:type="dxa" w:w="1440"/>
          </w:tcPr>
          <w:p>
            <w:r>
              <w:rPr>
                <w:rFonts w:ascii="Calibri" w:hAnsi="Calibri"/>
                <w:sz w:val="22"/>
              </w:rPr>
              <w:t>10b5-1 Planned Sale</w:t>
            </w:r>
          </w:p>
        </w:tc>
        <w:tc>
          <w:tcPr>
            <w:tcW w:type="dxa" w:w="1440"/>
          </w:tcPr>
          <w:p>
            <w:r>
              <w:rPr>
                <w:rFonts w:ascii="Calibri" w:hAnsi="Calibri"/>
                <w:sz w:val="22"/>
              </w:rPr>
              <w:t>3,123</w:t>
            </w:r>
          </w:p>
        </w:tc>
        <w:tc>
          <w:tcPr>
            <w:tcW w:type="dxa" w:w="1440"/>
          </w:tcPr>
          <w:p>
            <w:r>
              <w:rPr>
                <w:rFonts w:ascii="Calibri" w:hAnsi="Calibri"/>
                <w:sz w:val="22"/>
              </w:rPr>
              <w:t>May 4, 2026</w:t>
            </w:r>
          </w:p>
        </w:tc>
        <w:tc>
          <w:tcPr>
            <w:tcW w:type="dxa" w:w="1440"/>
          </w:tcPr>
          <w:p>
            <w:r>
              <w:rPr>
                <w:rFonts w:ascii="Calibri" w:hAnsi="Calibri"/>
                <w:sz w:val="22"/>
              </w:rPr>
              <w:t>Pre-planned; 12,194 shares remaining</w:t>
            </w:r>
          </w:p>
        </w:tc>
      </w:tr>
      <w:tr>
        <w:tc>
          <w:tcPr>
            <w:tcW w:type="dxa" w:w="1440"/>
          </w:tcPr>
          <w:p>
            <w:r>
              <w:rPr>
                <w:rFonts w:ascii="Calibri" w:hAnsi="Calibri"/>
                <w:sz w:val="22"/>
              </w:rPr>
              <w:t>John Anthony Maddison</w:t>
            </w:r>
          </w:p>
        </w:tc>
        <w:tc>
          <w:tcPr>
            <w:tcW w:type="dxa" w:w="1440"/>
          </w:tcPr>
          <w:p>
            <w:r>
              <w:rPr>
                <w:rFonts w:ascii="Calibri" w:hAnsi="Calibri"/>
                <w:sz w:val="22"/>
              </w:rPr>
              <w:t>Chief Product &amp; Marketing Officer</w:t>
            </w:r>
          </w:p>
        </w:tc>
        <w:tc>
          <w:tcPr>
            <w:tcW w:type="dxa" w:w="1440"/>
          </w:tcPr>
          <w:p>
            <w:r>
              <w:rPr>
                <w:rFonts w:ascii="Calibri" w:hAnsi="Calibri"/>
                <w:sz w:val="22"/>
              </w:rPr>
              <w:t>10b5-1 Planned Sale</w:t>
            </w:r>
          </w:p>
        </w:tc>
        <w:tc>
          <w:tcPr>
            <w:tcW w:type="dxa" w:w="1440"/>
          </w:tcPr>
          <w:p>
            <w:r>
              <w:rPr>
                <w:rFonts w:ascii="Calibri" w:hAnsi="Calibri"/>
                <w:sz w:val="22"/>
              </w:rPr>
              <w:t>1,000</w:t>
            </w:r>
          </w:p>
        </w:tc>
        <w:tc>
          <w:tcPr>
            <w:tcW w:type="dxa" w:w="1440"/>
          </w:tcPr>
          <w:p>
            <w:r>
              <w:rPr>
                <w:rFonts w:ascii="Calibri" w:hAnsi="Calibri"/>
                <w:sz w:val="22"/>
              </w:rPr>
              <w:t>May 4, 2026</w:t>
            </w:r>
          </w:p>
        </w:tc>
        <w:tc>
          <w:tcPr>
            <w:tcW w:type="dxa" w:w="1440"/>
          </w:tcPr>
          <w:p>
            <w:r>
              <w:rPr>
                <w:rFonts w:ascii="Calibri" w:hAnsi="Calibri"/>
                <w:sz w:val="22"/>
              </w:rPr>
              <w:t>Pre-planned; 2,149 shares remaining</w:t>
            </w:r>
          </w:p>
        </w:tc>
      </w:tr>
      <w:tr>
        <w:tc>
          <w:tcPr>
            <w:tcW w:type="dxa" w:w="1440"/>
          </w:tcPr>
          <w:p>
            <w:r>
              <w:rPr>
                <w:rFonts w:ascii="Calibri" w:hAnsi="Calibri"/>
                <w:sz w:val="22"/>
              </w:rPr>
              <w:t>Angelique M. Okeke</w:t>
            </w:r>
          </w:p>
        </w:tc>
        <w:tc>
          <w:tcPr>
            <w:tcW w:type="dxa" w:w="1440"/>
          </w:tcPr>
          <w:p>
            <w:r>
              <w:rPr>
                <w:rFonts w:ascii="Calibri" w:hAnsi="Calibri"/>
                <w:sz w:val="22"/>
              </w:rPr>
              <w:t>EVP, General Counsel</w:t>
            </w:r>
          </w:p>
        </w:tc>
        <w:tc>
          <w:tcPr>
            <w:tcW w:type="dxa" w:w="1440"/>
          </w:tcPr>
          <w:p>
            <w:r>
              <w:rPr>
                <w:rFonts w:ascii="Calibri" w:hAnsi="Calibri"/>
                <w:sz w:val="22"/>
              </w:rPr>
              <w:t>10b5-1 Planned Sale</w:t>
            </w:r>
          </w:p>
        </w:tc>
        <w:tc>
          <w:tcPr>
            <w:tcW w:type="dxa" w:w="1440"/>
          </w:tcPr>
          <w:p>
            <w:r>
              <w:rPr>
                <w:rFonts w:ascii="Calibri" w:hAnsi="Calibri"/>
                <w:sz w:val="22"/>
              </w:rPr>
              <w:t>842</w:t>
            </w:r>
          </w:p>
        </w:tc>
        <w:tc>
          <w:tcPr>
            <w:tcW w:type="dxa" w:w="1440"/>
          </w:tcPr>
          <w:p>
            <w:r>
              <w:rPr>
                <w:rFonts w:ascii="Calibri" w:hAnsi="Calibri"/>
                <w:sz w:val="22"/>
              </w:rPr>
              <w:t>May 4, 2026</w:t>
            </w:r>
          </w:p>
        </w:tc>
        <w:tc>
          <w:tcPr>
            <w:tcW w:type="dxa" w:w="1440"/>
          </w:tcPr>
          <w:p>
            <w:r>
              <w:rPr>
                <w:rFonts w:ascii="Calibri" w:hAnsi="Calibri"/>
                <w:sz w:val="22"/>
              </w:rPr>
              <w:t>Pre-planned; 2,110 shares remaining</w:t>
            </w:r>
          </w:p>
        </w:tc>
      </w:tr>
      <w:tr>
        <w:tc>
          <w:tcPr>
            <w:tcW w:type="dxa" w:w="1440"/>
          </w:tcPr>
          <w:p>
            <w:r>
              <w:rPr>
                <w:rFonts w:ascii="Calibri" w:hAnsi="Calibri"/>
                <w:sz w:val="22"/>
              </w:rPr>
              <w:t>Edward Cooper Werner</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599</w:t>
            </w:r>
          </w:p>
        </w:tc>
        <w:tc>
          <w:tcPr>
            <w:tcW w:type="dxa" w:w="1440"/>
          </w:tcPr>
          <w:p>
            <w:r>
              <w:rPr>
                <w:rFonts w:ascii="Calibri" w:hAnsi="Calibri"/>
                <w:sz w:val="22"/>
              </w:rPr>
              <w:t>May 4, 2026</w:t>
            </w:r>
          </w:p>
        </w:tc>
        <w:tc>
          <w:tcPr>
            <w:tcW w:type="dxa" w:w="1440"/>
          </w:tcPr>
          <w:p>
            <w:r>
              <w:rPr>
                <w:rFonts w:ascii="Calibri" w:hAnsi="Calibri"/>
                <w:sz w:val="22"/>
              </w:rPr>
              <w:t>Pre-planned; routine plan execution</w:t>
            </w:r>
          </w:p>
        </w:tc>
      </w:tr>
      <w:tr>
        <w:tc>
          <w:tcPr>
            <w:tcW w:type="dxa" w:w="1440"/>
          </w:tcPr>
          <w:p>
            <w:r>
              <w:rPr>
                <w:rFonts w:ascii="Calibri" w:hAnsi="Calibri"/>
                <w:sz w:val="22"/>
              </w:rPr>
              <w:t>Chad Michael Whalen</w:t>
            </w:r>
          </w:p>
        </w:tc>
        <w:tc>
          <w:tcPr>
            <w:tcW w:type="dxa" w:w="1440"/>
          </w:tcPr>
          <w:p>
            <w:r>
              <w:rPr>
                <w:rFonts w:ascii="Calibri" w:hAnsi="Calibri"/>
                <w:sz w:val="22"/>
              </w:rPr>
              <w:t>EVP, Worldwide Sales</w:t>
            </w:r>
          </w:p>
        </w:tc>
        <w:tc>
          <w:tcPr>
            <w:tcW w:type="dxa" w:w="1440"/>
          </w:tcPr>
          <w:p>
            <w:r>
              <w:rPr>
                <w:rFonts w:ascii="Calibri" w:hAnsi="Calibri"/>
                <w:sz w:val="22"/>
              </w:rPr>
              <w:t>10b5-1 Planned Sale</w:t>
            </w:r>
          </w:p>
        </w:tc>
        <w:tc>
          <w:tcPr>
            <w:tcW w:type="dxa" w:w="1440"/>
          </w:tcPr>
          <w:p>
            <w:r>
              <w:rPr>
                <w:rFonts w:ascii="Calibri" w:hAnsi="Calibri"/>
                <w:sz w:val="22"/>
              </w:rPr>
              <w:t>704</w:t>
            </w:r>
          </w:p>
        </w:tc>
        <w:tc>
          <w:tcPr>
            <w:tcW w:type="dxa" w:w="1440"/>
          </w:tcPr>
          <w:p>
            <w:r>
              <w:rPr>
                <w:rFonts w:ascii="Calibri" w:hAnsi="Calibri"/>
                <w:sz w:val="22"/>
              </w:rPr>
              <w:t>May 4, 2026</w:t>
            </w:r>
          </w:p>
        </w:tc>
        <w:tc>
          <w:tcPr>
            <w:tcW w:type="dxa" w:w="1440"/>
          </w:tcPr>
          <w:p>
            <w:r>
              <w:rPr>
                <w:rFonts w:ascii="Calibri" w:hAnsi="Calibri"/>
                <w:sz w:val="22"/>
              </w:rPr>
              <w:t>Pre-planned; 27,032 shares remaining</w:t>
            </w:r>
          </w:p>
        </w:tc>
      </w:tr>
    </w:tbl>
    <w:p>
      <w:r>
        <w:rPr>
          <w:rFonts w:ascii="Calibri" w:hAnsi="Calibri"/>
          <w:color w:val="525866"/>
          <w:sz w:val="22"/>
        </w:rPr>
        <w:t>Source: SEC Form 4 Filings / Insider Transaction Data. All transactions are open-market sales (transaction code S). The cluster of 10b5-1 plan sales on May 4–5, 2026 (immediately following the Q2 earnings blackout period lift) is consistent with pre-scheduled plan execution and is not a discretionary signal. CEO Locoh-Donou retains a substantial 146,989-share position despite the sale, indicating continued meaningful alignment with shareholders. The CFO’s June 2 sale reduced his direct holding to just 406 shares, which is worth monitoring but is likely the tail end of a pre-planned liquidation schedule.</w:t>
      </w:r>
    </w:p>
    <w:p>
      <w:r>
        <w:rPr>
          <w:rFonts w:ascii="Calibri" w:hAnsi="Calibri"/>
          <w:b/>
          <w:color w:val="525866"/>
          <w:sz w:val="22"/>
        </w:rPr>
        <w:t xml:space="preserve">Disclaimer: </w:t>
      </w:r>
      <w:r>
        <w:rPr>
          <w:rFonts w:ascii="Calibri" w:hAnsi="Calibri"/>
          <w:color w:val="525866"/>
          <w:sz w:val="22"/>
        </w:rPr>
        <w:t>This document is prepared for informational purposes only and does not constitute investment advice. All data sourced from Visible Alpha, SEC filings, company transcripts, and public market data as of July 26,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