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F5, Inc. (FFIV) —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F5, Inc.</w:t>
            </w:r>
          </w:p>
        </w:tc>
        <w:tc>
          <w:tcPr>
            <w:tcW w:type="dxa" w:w="2160"/>
          </w:tcPr>
          <w:p>
            <w:r>
              <w:rPr>
                <w:rFonts w:ascii="Calibri" w:hAnsi="Calibri"/>
                <w:b/>
                <w:sz w:val="22"/>
              </w:rPr>
              <w:t>Earnings Date</w:t>
            </w:r>
          </w:p>
        </w:tc>
        <w:tc>
          <w:tcPr>
            <w:tcW w:type="dxa" w:w="2160"/>
          </w:tcPr>
          <w:p>
            <w:r>
              <w:rPr>
                <w:rFonts w:ascii="Calibri" w:hAnsi="Calibri"/>
                <w:sz w:val="22"/>
              </w:rPr>
              <w:t>July 27, 2026 (After Market Close)</w:t>
            </w:r>
          </w:p>
        </w:tc>
      </w:tr>
      <w:tr>
        <w:tc>
          <w:tcPr>
            <w:tcW w:type="dxa" w:w="2160"/>
          </w:tcPr>
          <w:p>
            <w:r>
              <w:rPr>
                <w:rFonts w:ascii="Calibri" w:hAnsi="Calibri"/>
                <w:b/>
                <w:sz w:val="22"/>
              </w:rPr>
              <w:t>Ticker</w:t>
            </w:r>
          </w:p>
        </w:tc>
        <w:tc>
          <w:tcPr>
            <w:tcW w:type="dxa" w:w="2160"/>
          </w:tcPr>
          <w:p>
            <w:r>
              <w:rPr>
                <w:rFonts w:ascii="Calibri" w:hAnsi="Calibri"/>
                <w:sz w:val="22"/>
              </w:rPr>
              <w:t>FFIV (NASDAQ)</w:t>
            </w:r>
          </w:p>
        </w:tc>
        <w:tc>
          <w:tcPr>
            <w:tcW w:type="dxa" w:w="2160"/>
          </w:tcPr>
          <w:p>
            <w:r>
              <w:rPr>
                <w:rFonts w:ascii="Calibri" w:hAnsi="Calibri"/>
                <w:b/>
                <w:sz w:val="22"/>
              </w:rPr>
              <w:t>Reporting Period</w:t>
            </w:r>
          </w:p>
        </w:tc>
        <w:tc>
          <w:tcPr>
            <w:tcW w:type="dxa" w:w="2160"/>
          </w:tcPr>
          <w:p>
            <w:r>
              <w:rPr>
                <w:rFonts w:ascii="Calibri" w:hAnsi="Calibri"/>
                <w:sz w:val="22"/>
              </w:rPr>
              <w:t>FY2026 Q3 (Quarter ended June 30, 2026)</w:t>
            </w:r>
          </w:p>
        </w:tc>
      </w:tr>
      <w:tr>
        <w:tc>
          <w:tcPr>
            <w:tcW w:type="dxa" w:w="2160"/>
          </w:tcPr>
          <w:p>
            <w:r>
              <w:rPr>
                <w:rFonts w:ascii="Calibri" w:hAnsi="Calibri"/>
                <w:b/>
                <w:sz w:val="22"/>
              </w:rPr>
              <w:t>Prepared</w:t>
            </w:r>
          </w:p>
        </w:tc>
        <w:tc>
          <w:tcPr>
            <w:tcW w:type="dxa" w:w="2160"/>
          </w:tcPr>
          <w:p>
            <w:r>
              <w:rPr>
                <w:rFonts w:ascii="Calibri" w:hAnsi="Calibri"/>
                <w:sz w:val="22"/>
              </w:rPr>
              <w:t>July 26, 2026</w:t>
            </w:r>
          </w:p>
        </w:tc>
        <w:tc>
          <w:tcPr>
            <w:tcW w:type="dxa" w:w="2160"/>
          </w:tcPr>
          <w:p>
            <w:r>
              <w:rPr>
                <w:rFonts w:ascii="Calibri" w:hAnsi="Calibri"/>
                <w:b/>
                <w:sz w:val="22"/>
              </w:rPr>
              <w:t>Sector</w:t>
            </w:r>
          </w:p>
        </w:tc>
        <w:tc>
          <w:tcPr>
            <w:tcW w:type="dxa" w:w="2160"/>
          </w:tcPr>
          <w:p>
            <w:r>
              <w:rPr>
                <w:rFonts w:ascii="Calibri" w:hAnsi="Calibri"/>
                <w:sz w:val="22"/>
              </w:rPr>
              <w:t>Technology — Application Delivery &amp; Security</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b/>
          <w:color w:val="525866"/>
          <w:sz w:val="22"/>
        </w:rPr>
        <w:t xml:space="preserve">The setup favors a beat — consensus sits below the midpoint of management’s own Q3 guidance, the refresh cycle and AI demand signals from peers remain robust, and FFIV has beaten on both revenue and EPS in each of the last eight quarters; the primary swing factor is whether </w:t>
      </w:r>
      <w:r>
        <w:rPr>
          <w:rFonts w:ascii="Calibri" w:hAnsi="Calibri"/>
          <w:b/>
          <w:color w:val="E5484D"/>
          <w:sz w:val="22"/>
        </w:rPr>
        <w:t>gross margin pressure from rising memory costs</w:t>
      </w:r>
      <w:r>
        <w:rPr>
          <w:rFonts w:ascii="Calibri" w:hAnsi="Calibri"/>
          <w:b/>
          <w:color w:val="525866"/>
          <w:sz w:val="22"/>
        </w:rPr>
        <w:t xml:space="preserve"> is worse than guided, which could cap the stock’s reaction even on a top-line beat.</w:t>
      </w:r>
    </w:p>
    <w:p>
      <w:r>
        <w:rPr>
          <w:rFonts w:ascii="Calibri" w:hAnsi="Calibri"/>
          <w:color w:val="525866"/>
          <w:sz w:val="22"/>
        </w:rPr>
        <w:t>Heading into its FY2026 Q3 print, F5 carries one of the cleanest setups in enterprise infrastructure: management guided Q3 revenue to $820–$840M (midpoint $830M) and non-GAAP EPS to $3.91–$4.03 (midpoint $3.97), while the current Visible Alpha consensus sits at $835M and $4.01 respectively — both inside the guidance range but below the midpoint, leaving a modest cushion for upside. The tone from the May 28 Analyst &amp; Investor Day was unambiguously constructive: management introduced a multi-year framework targeting upper-single-digit revenue growth through FY29, guided systems to sustainably grow in the mid-single digits, and characterized software as a “consistent and sustainable double-digit growth category” — a meaningful step-up in conviction from prior quarters. Estimate revisions have been stable-to-slightly-positive since the Q2 print, with FY26 consensus revenue and EPS both drifting modestly higher, suggesting the Street is not aggressively front-running a beat. The stock has rallied ~29% since the April 28 earnings date (vs. IGV +3.5% and S&amp;P 500 +3.8%), implying a meaningful re-rating on multiple expansion rather than pure estimate revision — the NTM EV/EBITDA has expanded from ~12.2x to ~15.8x over the same period, so the bar for a positive stock reaction on the print is higher than the numbers alone suggest. The key wildcard is the trajectory of memory and SSD component costs: management flagged at Q2 that gross margin would “step down sequentially from Q3 into Q4” as higher costs flow through at full run rate, and any indication that the Q4 step-down is larger than expected — or that FY27 margin recovery is pushed out — could weigh on the stock despite a clean headline beat.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sits inside but below the midpoint of management’s own Q3 guidance on both revenue and EPS, making the bar achievable; </w:t>
      </w:r>
      <w:r>
        <w:rPr>
          <w:rFonts w:ascii="Calibri" w:hAnsi="Calibri"/>
          <w:b/>
          <w:color w:val="30A46C"/>
          <w:sz w:val="22"/>
        </w:rPr>
        <w:t>Systems revenue</w:t>
      </w:r>
      <w:r>
        <w:rPr>
          <w:rFonts w:ascii="Calibri" w:hAnsi="Calibri"/>
          <w:b/>
          <w:color w:val="525866"/>
          <w:sz w:val="22"/>
        </w:rPr>
        <w:t xml:space="preserve"> is the bigger swing factor given the ongoing hardware refresh cycle and AI data-delivery demand, while gross margin is the key risk given flagged memory cost headwinds.</w:t>
      </w:r>
    </w:p>
    <w:p>
      <w:pPr>
        <w:pStyle w:val="Heading2"/>
      </w:pPr>
      <w:r>
        <w:rPr>
          <w:rFonts w:ascii="Calibri" w:hAnsi="Calibri"/>
          <w:b/>
          <w:color w:val="3B4259"/>
          <w:sz w:val="28"/>
        </w:rPr>
        <w:t>Table 1 — Current Quarter Snapshot (FY2026 Q3, Quarter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(FY2026 Q2)</w:t>
            </w:r>
          </w:p>
        </w:tc>
        <w:tc>
          <w:tcPr>
            <w:tcW w:type="dxa" w:w="1234"/>
            <w:shd w:val="clear" w:color="auto" w:fill="3B4259"/>
          </w:tcPr>
          <w:p>
            <w:r>
              <w:rPr>
                <w:rFonts w:ascii="Calibri" w:hAnsi="Calibri"/>
                <w:b/>
                <w:color w:val="FFFFFF"/>
                <w:sz w:val="22"/>
              </w:rPr>
              <w:t>Prior Year Period Actual (FY2025 Q3)</w:t>
            </w:r>
          </w:p>
        </w:tc>
        <w:tc>
          <w:tcPr>
            <w:tcW w:type="dxa" w:w="1234"/>
            <w:shd w:val="clear" w:color="auto" w:fill="3B4259"/>
          </w:tcPr>
          <w:p>
            <w:r>
              <w:rPr>
                <w:rFonts w:ascii="Calibri" w:hAnsi="Calibri"/>
                <w:b/>
                <w:color w:val="FFFFFF"/>
                <w:sz w:val="22"/>
              </w:rPr>
              <w:t>Consensus Estimate (FY2026 Q3)</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(Q3 FY26)</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Revenue ($M)</w:t>
            </w:r>
          </w:p>
        </w:tc>
        <w:tc>
          <w:tcPr>
            <w:tcW w:type="dxa" w:w="1234"/>
          </w:tcPr>
          <w:p>
            <w:r>
              <w:rPr>
                <w:rFonts w:ascii="Calibri" w:hAnsi="Calibri"/>
                <w:sz w:val="22"/>
              </w:rPr>
              <w:t>$811.7M</w:t>
            </w:r>
          </w:p>
        </w:tc>
        <w:tc>
          <w:tcPr>
            <w:tcW w:type="dxa" w:w="1234"/>
          </w:tcPr>
          <w:p>
            <w:r>
              <w:rPr>
                <w:rFonts w:ascii="Calibri" w:hAnsi="Calibri"/>
                <w:sz w:val="22"/>
              </w:rPr>
              <w:t>$780.4M</w:t>
            </w:r>
          </w:p>
        </w:tc>
        <w:tc>
          <w:tcPr>
            <w:tcW w:type="dxa" w:w="1234"/>
          </w:tcPr>
          <w:p>
            <w:r>
              <w:rPr>
                <w:rFonts w:ascii="Calibri" w:hAnsi="Calibri"/>
                <w:sz w:val="22"/>
              </w:rPr>
              <w:t>$835.0M</w:t>
            </w:r>
          </w:p>
        </w:tc>
        <w:tc>
          <w:tcPr>
            <w:tcW w:type="dxa" w:w="1234"/>
          </w:tcPr>
          <w:p>
            <w:r>
              <w:rPr>
                <w:rFonts w:ascii="Calibri" w:hAnsi="Calibri"/>
                <w:sz w:val="22"/>
              </w:rPr>
              <w:t>+7.0%</w:t>
            </w:r>
          </w:p>
        </w:tc>
        <w:tc>
          <w:tcPr>
            <w:tcW w:type="dxa" w:w="1234"/>
          </w:tcPr>
          <w:p>
            <w:r>
              <w:rPr>
                <w:rFonts w:ascii="Calibri" w:hAnsi="Calibri"/>
                <w:sz w:val="22"/>
              </w:rPr>
              <w:t>$820–$840M (mid: $830M)</w:t>
            </w:r>
          </w:p>
        </w:tc>
        <w:tc>
          <w:tcPr>
            <w:tcW w:type="dxa" w:w="1234"/>
          </w:tcPr>
          <w:p>
            <w:r>
              <w:rPr>
                <w:rFonts w:ascii="Calibri" w:hAnsi="Calibri"/>
                <w:sz w:val="22"/>
              </w:rPr>
              <w:t>+0.6% above mid</w:t>
            </w:r>
          </w:p>
        </w:tc>
      </w:tr>
      <w:tr>
        <w:tc>
          <w:tcPr>
            <w:tcW w:type="dxa" w:w="1234"/>
          </w:tcPr>
          <w:p>
            <w:r>
              <w:rPr>
                <w:rFonts w:ascii="Calibri" w:hAnsi="Calibri"/>
                <w:sz w:val="22"/>
              </w:rPr>
              <w:t>Non-GAAP EPS (Diluted)</w:t>
            </w:r>
          </w:p>
        </w:tc>
        <w:tc>
          <w:tcPr>
            <w:tcW w:type="dxa" w:w="1234"/>
          </w:tcPr>
          <w:p>
            <w:r>
              <w:rPr>
                <w:rFonts w:ascii="Calibri" w:hAnsi="Calibri"/>
                <w:sz w:val="22"/>
              </w:rPr>
              <w:t>$3.90</w:t>
            </w:r>
          </w:p>
        </w:tc>
        <w:tc>
          <w:tcPr>
            <w:tcW w:type="dxa" w:w="1234"/>
          </w:tcPr>
          <w:p>
            <w:r>
              <w:rPr>
                <w:rFonts w:ascii="Calibri" w:hAnsi="Calibri"/>
                <w:sz w:val="22"/>
              </w:rPr>
              <w:t>$4.16</w:t>
            </w:r>
          </w:p>
        </w:tc>
        <w:tc>
          <w:tcPr>
            <w:tcW w:type="dxa" w:w="1234"/>
          </w:tcPr>
          <w:p>
            <w:r>
              <w:rPr>
                <w:rFonts w:ascii="Calibri" w:hAnsi="Calibri"/>
                <w:sz w:val="22"/>
              </w:rPr>
              <w:t>$4.01</w:t>
            </w:r>
          </w:p>
        </w:tc>
        <w:tc>
          <w:tcPr>
            <w:tcW w:type="dxa" w:w="1234"/>
          </w:tcPr>
          <w:p>
            <w:r>
              <w:rPr>
                <w:rFonts w:ascii="Calibri" w:hAnsi="Calibri"/>
                <w:sz w:val="22"/>
              </w:rPr>
              <w:t>−3.6%</w:t>
            </w:r>
          </w:p>
        </w:tc>
        <w:tc>
          <w:tcPr>
            <w:tcW w:type="dxa" w:w="1234"/>
          </w:tcPr>
          <w:p>
            <w:r>
              <w:rPr>
                <w:rFonts w:ascii="Calibri" w:hAnsi="Calibri"/>
                <w:sz w:val="22"/>
              </w:rPr>
              <w:t>$3.91–$4.03 (mid: $3.97)</w:t>
            </w:r>
          </w:p>
        </w:tc>
        <w:tc>
          <w:tcPr>
            <w:tcW w:type="dxa" w:w="1234"/>
          </w:tcPr>
          <w:p>
            <w:r>
              <w:rPr>
                <w:rFonts w:ascii="Calibri" w:hAnsi="Calibri"/>
                <w:sz w:val="22"/>
              </w:rPr>
              <w:t>+1.0% above mid</w:t>
            </w:r>
          </w:p>
        </w:tc>
      </w:tr>
      <w:tr>
        <w:tc>
          <w:tcPr>
            <w:tcW w:type="dxa" w:w="1234"/>
          </w:tcPr>
          <w:p>
            <w:r>
              <w:rPr>
                <w:rFonts w:ascii="Calibri" w:hAnsi="Calibri"/>
                <w:sz w:val="22"/>
              </w:rPr>
              <w:t>Systems Revenue ($M)</w:t>
            </w:r>
          </w:p>
        </w:tc>
        <w:tc>
          <w:tcPr>
            <w:tcW w:type="dxa" w:w="1234"/>
          </w:tcPr>
          <w:p>
            <w:r>
              <w:rPr>
                <w:rFonts w:ascii="Calibri" w:hAnsi="Calibri"/>
                <w:sz w:val="22"/>
              </w:rPr>
              <w:t>$226.0M</w:t>
            </w:r>
          </w:p>
        </w:tc>
        <w:tc>
          <w:tcPr>
            <w:tcW w:type="dxa" w:w="1234"/>
          </w:tcPr>
          <w:p>
            <w:r>
              <w:rPr>
                <w:rFonts w:ascii="Calibri" w:hAnsi="Calibri"/>
                <w:sz w:val="22"/>
              </w:rPr>
              <w:t>$181.0M</w:t>
            </w:r>
          </w:p>
        </w:tc>
        <w:tc>
          <w:tcPr>
            <w:tcW w:type="dxa" w:w="1234"/>
          </w:tcPr>
          <w:p>
            <w:r>
              <w:rPr>
                <w:rFonts w:ascii="Calibri" w:hAnsi="Calibri"/>
                <w:sz w:val="22"/>
              </w:rPr>
              <w:t>$211.7M</w:t>
            </w:r>
          </w:p>
        </w:tc>
        <w:tc>
          <w:tcPr>
            <w:tcW w:type="dxa" w:w="1234"/>
          </w:tcPr>
          <w:p>
            <w:r>
              <w:rPr>
                <w:rFonts w:ascii="Calibri" w:hAnsi="Calibri"/>
                <w:sz w:val="22"/>
              </w:rPr>
              <w:t>+17.0%</w:t>
            </w:r>
          </w:p>
        </w:tc>
        <w:tc>
          <w:tcPr>
            <w:tcW w:type="dxa" w:w="1234"/>
          </w:tcPr>
          <w:p>
            <w:r>
              <w:rPr>
                <w:rFonts w:ascii="Calibri" w:hAnsi="Calibri"/>
                <w:sz w:val="22"/>
              </w:rPr>
              <w:t>Double-digit growth (FY26 full year)</w:t>
            </w:r>
          </w:p>
        </w:tc>
        <w:tc>
          <w:tcPr>
            <w:tcW w:type="dxa" w:w="1234"/>
          </w:tcPr>
          <w:p>
            <w:r>
              <w:rPr>
                <w:rFonts w:ascii="Calibri" w:hAnsi="Calibri"/>
                <w:sz w:val="22"/>
              </w:rPr>
              <w:t>N/A (no Q-specific systems guide)</w:t>
            </w:r>
          </w:p>
        </w:tc>
      </w:tr>
      <w:tr>
        <w:tc>
          <w:tcPr>
            <w:tcW w:type="dxa" w:w="1234"/>
          </w:tcPr>
          <w:p>
            <w:r>
              <w:rPr>
                <w:rFonts w:ascii="Calibri" w:hAnsi="Calibri"/>
                <w:sz w:val="22"/>
              </w:rPr>
              <w:t>Software Revenue ($M)</w:t>
            </w:r>
          </w:p>
        </w:tc>
        <w:tc>
          <w:tcPr>
            <w:tcW w:type="dxa" w:w="1234"/>
          </w:tcPr>
          <w:p>
            <w:r>
              <w:rPr>
                <w:rFonts w:ascii="Calibri" w:hAnsi="Calibri"/>
                <w:sz w:val="22"/>
              </w:rPr>
              <w:t>$184.0M</w:t>
            </w:r>
          </w:p>
        </w:tc>
        <w:tc>
          <w:tcPr>
            <w:tcW w:type="dxa" w:w="1234"/>
          </w:tcPr>
          <w:p>
            <w:r>
              <w:rPr>
                <w:rFonts w:ascii="Calibri" w:hAnsi="Calibri"/>
                <w:sz w:val="22"/>
              </w:rPr>
              <w:t>$208.0M</w:t>
            </w:r>
          </w:p>
        </w:tc>
        <w:tc>
          <w:tcPr>
            <w:tcW w:type="dxa" w:w="1234"/>
          </w:tcPr>
          <w:p>
            <w:r>
              <w:rPr>
                <w:rFonts w:ascii="Calibri" w:hAnsi="Calibri"/>
                <w:sz w:val="22"/>
              </w:rPr>
              <w:t>$220.8M</w:t>
            </w:r>
          </w:p>
        </w:tc>
        <w:tc>
          <w:tcPr>
            <w:tcW w:type="dxa" w:w="1234"/>
          </w:tcPr>
          <w:p>
            <w:r>
              <w:rPr>
                <w:rFonts w:ascii="Calibri" w:hAnsi="Calibri"/>
                <w:sz w:val="22"/>
              </w:rPr>
              <w:t>+6.2%</w:t>
            </w:r>
          </w:p>
        </w:tc>
        <w:tc>
          <w:tcPr>
            <w:tcW w:type="dxa" w:w="1234"/>
          </w:tcPr>
          <w:p>
            <w:r>
              <w:rPr>
                <w:rFonts w:ascii="Calibri" w:hAnsi="Calibri"/>
                <w:sz w:val="22"/>
              </w:rPr>
              <w:t>Mid-single-digit growth (FY26 full year)</w:t>
            </w:r>
          </w:p>
        </w:tc>
        <w:tc>
          <w:tcPr>
            <w:tcW w:type="dxa" w:w="1234"/>
          </w:tcPr>
          <w:p>
            <w:r>
              <w:rPr>
                <w:rFonts w:ascii="Calibri" w:hAnsi="Calibri"/>
                <w:sz w:val="22"/>
              </w:rPr>
              <w:t>N/A (no Q-specific software guide)</w:t>
            </w:r>
          </w:p>
        </w:tc>
      </w:tr>
      <w:tr>
        <w:tc>
          <w:tcPr>
            <w:tcW w:type="dxa" w:w="1234"/>
          </w:tcPr>
          <w:p>
            <w:r>
              <w:rPr>
                <w:rFonts w:ascii="Calibri" w:hAnsi="Calibri"/>
                <w:sz w:val="22"/>
              </w:rPr>
              <w:t>Software Subscription Revenue ($M)</w:t>
            </w:r>
          </w:p>
        </w:tc>
        <w:tc>
          <w:tcPr>
            <w:tcW w:type="dxa" w:w="1234"/>
          </w:tcPr>
          <w:p>
            <w:r>
              <w:rPr>
                <w:rFonts w:ascii="Calibri" w:hAnsi="Calibri"/>
                <w:sz w:val="22"/>
              </w:rPr>
              <w:t>$165.0M</w:t>
            </w:r>
          </w:p>
        </w:tc>
        <w:tc>
          <w:tcPr>
            <w:tcW w:type="dxa" w:w="1234"/>
          </w:tcPr>
          <w:p>
            <w:r>
              <w:rPr>
                <w:rFonts w:ascii="Calibri" w:hAnsi="Calibri"/>
                <w:sz w:val="22"/>
              </w:rPr>
              <w:t>$185.0M</w:t>
            </w:r>
          </w:p>
        </w:tc>
        <w:tc>
          <w:tcPr>
            <w:tcW w:type="dxa" w:w="1234"/>
          </w:tcPr>
          <w:p>
            <w:r>
              <w:rPr>
                <w:rFonts w:ascii="Calibri" w:hAnsi="Calibri"/>
                <w:sz w:val="22"/>
              </w:rPr>
              <w:t>$194.2M</w:t>
            </w:r>
          </w:p>
        </w:tc>
        <w:tc>
          <w:tcPr>
            <w:tcW w:type="dxa" w:w="1234"/>
          </w:tcPr>
          <w:p>
            <w:r>
              <w:rPr>
                <w:rFonts w:ascii="Calibri" w:hAnsi="Calibri"/>
                <w:sz w:val="22"/>
              </w:rPr>
              <w:t>+4.9%</w:t>
            </w:r>
          </w:p>
        </w:tc>
        <w:tc>
          <w:tcPr>
            <w:tcW w:type="dxa" w:w="1234"/>
          </w:tcPr>
          <w:p>
            <w:r>
              <w:rPr>
                <w:rFonts w:ascii="Calibri" w:hAnsi="Calibri"/>
                <w:sz w:val="22"/>
              </w:rPr>
              <w:t>N/A (no Q-specific guide)</w:t>
            </w:r>
          </w:p>
        </w:tc>
        <w:tc>
          <w:tcPr>
            <w:tcW w:type="dxa" w:w="1234"/>
          </w:tcPr>
          <w:p>
            <w:r>
              <w:rPr>
                <w:rFonts w:ascii="Calibri" w:hAnsi="Calibri"/>
                <w:sz w:val="22"/>
              </w:rPr>
              <w:t>N/A</w:t>
            </w:r>
          </w:p>
        </w:tc>
      </w:tr>
      <w:tr>
        <w:tc>
          <w:tcPr>
            <w:tcW w:type="dxa" w:w="1234"/>
          </w:tcPr>
          <w:p>
            <w:r>
              <w:rPr>
                <w:rFonts w:ascii="Calibri" w:hAnsi="Calibri"/>
                <w:sz w:val="22"/>
              </w:rPr>
              <w:t>Non-GAAP Gross Margin</w:t>
            </w:r>
          </w:p>
        </w:tc>
        <w:tc>
          <w:tcPr>
            <w:tcW w:type="dxa" w:w="1234"/>
          </w:tcPr>
          <w:p>
            <w:r>
              <w:rPr>
                <w:rFonts w:ascii="Calibri" w:hAnsi="Calibri"/>
                <w:sz w:val="22"/>
              </w:rPr>
              <w:t>33.8% (op. margin)</w:t>
            </w:r>
          </w:p>
        </w:tc>
        <w:tc>
          <w:tcPr>
            <w:tcW w:type="dxa" w:w="1234"/>
          </w:tcPr>
          <w:p>
            <w:r>
              <w:rPr>
                <w:rFonts w:ascii="Calibri" w:hAnsi="Calibri"/>
                <w:sz w:val="22"/>
              </w:rPr>
              <w:t>N/A — not separately reported</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82.5%–83.5% gross margin</w:t>
            </w:r>
          </w:p>
        </w:tc>
        <w:tc>
          <w:tcPr>
            <w:tcW w:type="dxa" w:w="1234"/>
          </w:tcPr>
          <w:p>
            <w:r>
              <w:rPr>
                <w:rFonts w:ascii="Calibri" w:hAnsi="Calibri"/>
                <w:sz w:val="22"/>
              </w:rPr>
              <w:t>N/A</w:t>
            </w:r>
          </w:p>
        </w:tc>
      </w:tr>
    </w:tbl>
    <w:p>
      <w:r>
        <w:rPr>
          <w:rFonts w:ascii="Calibri" w:hAnsi="Calibri"/>
          <w:i/>
          <w:color w:val="525866"/>
          <w:sz w:val="22"/>
        </w:rPr>
        <w:t>Sources: Visible Alpha consensus and actuals data; F5 Q2 FY2026 Earnings Release (April 28, 2026); F5 Q2 FY2026 Earnings Call transcript (April 28, 2026). Consensus estimates as of July 24, 2026. Prior year actuals (FY2025 Q3) from Visible Alpha. Note: FY2025 Q3 Non-GAAP EPS actual was $4.16 vs. FY2026 Q3 consensus of $4.01 — the YoY decline reflects the step-up in memory/component costs flagged by management beginning in Q3 FY26.</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Net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FY2026 Q2 (Mar 2026)</w:t>
            </w:r>
          </w:p>
        </w:tc>
        <w:tc>
          <w:tcPr>
            <w:tcW w:type="dxa" w:w="1728"/>
          </w:tcPr>
          <w:p>
            <w:r>
              <w:rPr>
                <w:rFonts w:ascii="Calibri" w:hAnsi="Calibri"/>
                <w:sz w:val="22"/>
              </w:rPr>
              <w:t>$811.7</w:t>
            </w:r>
          </w:p>
        </w:tc>
        <w:tc>
          <w:tcPr>
            <w:tcW w:type="dxa" w:w="1728"/>
          </w:tcPr>
          <w:p>
            <w:r>
              <w:rPr>
                <w:rFonts w:ascii="Calibri" w:hAnsi="Calibri"/>
                <w:sz w:val="22"/>
              </w:rPr>
              <w:t>$782.6</w:t>
            </w:r>
          </w:p>
        </w:tc>
        <w:tc>
          <w:tcPr>
            <w:tcW w:type="dxa" w:w="1728"/>
          </w:tcPr>
          <w:p>
            <w:r>
              <w:rPr>
                <w:rFonts w:ascii="Calibri" w:hAnsi="Calibri"/>
                <w:b/>
                <w:color w:val="30A46C"/>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FY2026 Q1 (Dec 2025)</w:t>
            </w:r>
          </w:p>
        </w:tc>
        <w:tc>
          <w:tcPr>
            <w:tcW w:type="dxa" w:w="1728"/>
          </w:tcPr>
          <w:p>
            <w:r>
              <w:rPr>
                <w:rFonts w:ascii="Calibri" w:hAnsi="Calibri"/>
                <w:sz w:val="22"/>
              </w:rPr>
              <w:t>$822.5</w:t>
            </w:r>
          </w:p>
        </w:tc>
        <w:tc>
          <w:tcPr>
            <w:tcW w:type="dxa" w:w="1728"/>
          </w:tcPr>
          <w:p>
            <w:r>
              <w:rPr>
                <w:rFonts w:ascii="Calibri" w:hAnsi="Calibri"/>
                <w:sz w:val="22"/>
              </w:rPr>
              <w:t>$755.7</w:t>
            </w:r>
          </w:p>
        </w:tc>
        <w:tc>
          <w:tcPr>
            <w:tcW w:type="dxa" w:w="1728"/>
          </w:tcPr>
          <w:p>
            <w:r>
              <w:rPr>
                <w:rFonts w:ascii="Calibri" w:hAnsi="Calibri"/>
                <w:b/>
                <w:color w:val="30A46C"/>
                <w:sz w:val="22"/>
              </w:rPr>
              <w:t>+8.8%</w:t>
            </w:r>
          </w:p>
        </w:tc>
        <w:tc>
          <w:tcPr>
            <w:tcW w:type="dxa" w:w="1728"/>
          </w:tcPr>
          <w:p>
            <w:r>
              <w:rPr>
                <w:rFonts w:ascii="Calibri" w:hAnsi="Calibri"/>
                <w:b/>
                <w:color w:val="30A46C"/>
                <w:sz w:val="22"/>
              </w:rPr>
              <w:t>Beat</w:t>
            </w:r>
          </w:p>
        </w:tc>
      </w:tr>
      <w:tr>
        <w:tc>
          <w:tcPr>
            <w:tcW w:type="dxa" w:w="1728"/>
          </w:tcPr>
          <w:p>
            <w:r>
              <w:rPr>
                <w:rFonts w:ascii="Calibri" w:hAnsi="Calibri"/>
                <w:sz w:val="22"/>
              </w:rPr>
              <w:t>FY2025 Q4 (Sep 2025)</w:t>
            </w:r>
          </w:p>
        </w:tc>
        <w:tc>
          <w:tcPr>
            <w:tcW w:type="dxa" w:w="1728"/>
          </w:tcPr>
          <w:p>
            <w:r>
              <w:rPr>
                <w:rFonts w:ascii="Calibri" w:hAnsi="Calibri"/>
                <w:sz w:val="22"/>
              </w:rPr>
              <w:t>$810.1</w:t>
            </w:r>
          </w:p>
        </w:tc>
        <w:tc>
          <w:tcPr>
            <w:tcW w:type="dxa" w:w="1728"/>
          </w:tcPr>
          <w:p>
            <w:r>
              <w:rPr>
                <w:rFonts w:ascii="Calibri" w:hAnsi="Calibri"/>
                <w:sz w:val="22"/>
              </w:rPr>
              <w:t>$794.1</w:t>
            </w:r>
          </w:p>
        </w:tc>
        <w:tc>
          <w:tcPr>
            <w:tcW w:type="dxa" w:w="1728"/>
          </w:tcPr>
          <w:p>
            <w:r>
              <w:rPr>
                <w:rFonts w:ascii="Calibri" w:hAnsi="Calibri"/>
                <w:b/>
                <w:color w:val="30A46C"/>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FY2025 Q3 (Jun 2025)</w:t>
            </w:r>
          </w:p>
        </w:tc>
        <w:tc>
          <w:tcPr>
            <w:tcW w:type="dxa" w:w="1728"/>
          </w:tcPr>
          <w:p>
            <w:r>
              <w:rPr>
                <w:rFonts w:ascii="Calibri" w:hAnsi="Calibri"/>
                <w:sz w:val="22"/>
              </w:rPr>
              <w:t>$780.4</w:t>
            </w:r>
          </w:p>
        </w:tc>
        <w:tc>
          <w:tcPr>
            <w:tcW w:type="dxa" w:w="1728"/>
          </w:tcPr>
          <w:p>
            <w:r>
              <w:rPr>
                <w:rFonts w:ascii="Calibri" w:hAnsi="Calibri"/>
                <w:sz w:val="22"/>
              </w:rPr>
              <w:t>$753.3</w:t>
            </w:r>
          </w:p>
        </w:tc>
        <w:tc>
          <w:tcPr>
            <w:tcW w:type="dxa" w:w="1728"/>
          </w:tcPr>
          <w:p>
            <w:r>
              <w:rPr>
                <w:rFonts w:ascii="Calibri" w:hAnsi="Calibri"/>
                <w:b/>
                <w:color w:val="30A46C"/>
                <w:sz w:val="22"/>
              </w:rPr>
              <w:t>+3.6%</w:t>
            </w:r>
          </w:p>
        </w:tc>
        <w:tc>
          <w:tcPr>
            <w:tcW w:type="dxa" w:w="1728"/>
          </w:tcPr>
          <w:p>
            <w:r>
              <w:rPr>
                <w:rFonts w:ascii="Calibri" w:hAnsi="Calibri"/>
                <w:b/>
                <w:color w:val="30A46C"/>
                <w:sz w:val="22"/>
              </w:rPr>
              <w:t>Beat</w:t>
            </w:r>
          </w:p>
        </w:tc>
      </w:tr>
      <w:tr>
        <w:tc>
          <w:tcPr>
            <w:tcW w:type="dxa" w:w="1728"/>
          </w:tcPr>
          <w:p>
            <w:r>
              <w:rPr>
                <w:rFonts w:ascii="Calibri" w:hAnsi="Calibri"/>
                <w:sz w:val="22"/>
              </w:rPr>
              <w:t>FY2025 Q2 (Mar 2025)</w:t>
            </w:r>
          </w:p>
        </w:tc>
        <w:tc>
          <w:tcPr>
            <w:tcW w:type="dxa" w:w="1728"/>
          </w:tcPr>
          <w:p>
            <w:r>
              <w:rPr>
                <w:rFonts w:ascii="Calibri" w:hAnsi="Calibri"/>
                <w:sz w:val="22"/>
              </w:rPr>
              <w:t>$731.1</w:t>
            </w:r>
          </w:p>
        </w:tc>
        <w:tc>
          <w:tcPr>
            <w:tcW w:type="dxa" w:w="1728"/>
          </w:tcPr>
          <w:p>
            <w:r>
              <w:rPr>
                <w:rFonts w:ascii="Calibri" w:hAnsi="Calibri"/>
                <w:sz w:val="22"/>
              </w:rPr>
              <w:t>$719.1</w:t>
            </w:r>
          </w:p>
        </w:tc>
        <w:tc>
          <w:tcPr>
            <w:tcW w:type="dxa" w:w="1728"/>
          </w:tcPr>
          <w:p>
            <w:r>
              <w:rPr>
                <w:rFonts w:ascii="Calibri" w:hAnsi="Calibri"/>
                <w:b/>
                <w:color w:val="30A46C"/>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FY2025 Q1 (Dec 2024)</w:t>
            </w:r>
          </w:p>
        </w:tc>
        <w:tc>
          <w:tcPr>
            <w:tcW w:type="dxa" w:w="1728"/>
          </w:tcPr>
          <w:p>
            <w:r>
              <w:rPr>
                <w:rFonts w:ascii="Calibri" w:hAnsi="Calibri"/>
                <w:sz w:val="22"/>
              </w:rPr>
              <w:t>$766.5</w:t>
            </w:r>
          </w:p>
        </w:tc>
        <w:tc>
          <w:tcPr>
            <w:tcW w:type="dxa" w:w="1728"/>
          </w:tcPr>
          <w:p>
            <w:r>
              <w:rPr>
                <w:rFonts w:ascii="Calibri" w:hAnsi="Calibri"/>
                <w:sz w:val="22"/>
              </w:rPr>
              <w:t>$715.3</w:t>
            </w:r>
          </w:p>
        </w:tc>
        <w:tc>
          <w:tcPr>
            <w:tcW w:type="dxa" w:w="1728"/>
          </w:tcPr>
          <w:p>
            <w:r>
              <w:rPr>
                <w:rFonts w:ascii="Calibri" w:hAnsi="Calibri"/>
                <w:b/>
                <w:color w:val="30A46C"/>
                <w:sz w:val="22"/>
              </w:rPr>
              <w:t>+7.2%</w:t>
            </w:r>
          </w:p>
        </w:tc>
        <w:tc>
          <w:tcPr>
            <w:tcW w:type="dxa" w:w="1728"/>
          </w:tcPr>
          <w:p>
            <w:r>
              <w:rPr>
                <w:rFonts w:ascii="Calibri" w:hAnsi="Calibri"/>
                <w:b/>
                <w:color w:val="30A46C"/>
                <w:sz w:val="22"/>
              </w:rPr>
              <w:t>Beat</w:t>
            </w:r>
          </w:p>
        </w:tc>
      </w:tr>
      <w:tr>
        <w:tc>
          <w:tcPr>
            <w:tcW w:type="dxa" w:w="1728"/>
          </w:tcPr>
          <w:p>
            <w:r>
              <w:rPr>
                <w:rFonts w:ascii="Calibri" w:hAnsi="Calibri"/>
                <w:sz w:val="22"/>
              </w:rPr>
              <w:t>FY2024 Q4 (Sep 2024)</w:t>
            </w:r>
          </w:p>
        </w:tc>
        <w:tc>
          <w:tcPr>
            <w:tcW w:type="dxa" w:w="1728"/>
          </w:tcPr>
          <w:p>
            <w:r>
              <w:rPr>
                <w:rFonts w:ascii="Calibri" w:hAnsi="Calibri"/>
                <w:sz w:val="22"/>
              </w:rPr>
              <w:t>$746.7</w:t>
            </w:r>
          </w:p>
        </w:tc>
        <w:tc>
          <w:tcPr>
            <w:tcW w:type="dxa" w:w="1728"/>
          </w:tcPr>
          <w:p>
            <w:r>
              <w:rPr>
                <w:rFonts w:ascii="Calibri" w:hAnsi="Calibri"/>
                <w:sz w:val="22"/>
              </w:rPr>
              <w:t>$730.2</w:t>
            </w:r>
          </w:p>
        </w:tc>
        <w:tc>
          <w:tcPr>
            <w:tcW w:type="dxa" w:w="1728"/>
          </w:tcPr>
          <w:p>
            <w:r>
              <w:rPr>
                <w:rFonts w:ascii="Calibri" w:hAnsi="Calibri"/>
                <w:b/>
                <w:color w:val="30A46C"/>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FY2024 Q3 (Jun 2024)</w:t>
            </w:r>
          </w:p>
        </w:tc>
        <w:tc>
          <w:tcPr>
            <w:tcW w:type="dxa" w:w="1728"/>
          </w:tcPr>
          <w:p>
            <w:r>
              <w:rPr>
                <w:rFonts w:ascii="Calibri" w:hAnsi="Calibri"/>
                <w:sz w:val="22"/>
              </w:rPr>
              <w:t>$695.5</w:t>
            </w:r>
          </w:p>
        </w:tc>
        <w:tc>
          <w:tcPr>
            <w:tcW w:type="dxa" w:w="1728"/>
          </w:tcPr>
          <w:p>
            <w:r>
              <w:rPr>
                <w:rFonts w:ascii="Calibri" w:hAnsi="Calibri"/>
                <w:sz w:val="22"/>
              </w:rPr>
              <w:t>$685.6</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bl>
    <w:p>
      <w:pPr>
        <w:pStyle w:val="Heading3"/>
      </w:pPr>
      <w:r>
        <w:rPr>
          <w:rFonts w:ascii="Calibri" w:hAnsi="Calibri"/>
          <w:b/>
          <w:color w:val="3B4259"/>
          <w:sz w:val="24"/>
        </w:rPr>
        <w:t>Non-GAAP EPS (Diluted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FY2026 Q2 (Mar 2026)</w:t>
            </w:r>
          </w:p>
        </w:tc>
        <w:tc>
          <w:tcPr>
            <w:tcW w:type="dxa" w:w="1728"/>
          </w:tcPr>
          <w:p>
            <w:r>
              <w:rPr>
                <w:rFonts w:ascii="Calibri" w:hAnsi="Calibri"/>
                <w:sz w:val="22"/>
              </w:rPr>
              <w:t>$3.90</w:t>
            </w:r>
          </w:p>
        </w:tc>
        <w:tc>
          <w:tcPr>
            <w:tcW w:type="dxa" w:w="1728"/>
          </w:tcPr>
          <w:p>
            <w:r>
              <w:rPr>
                <w:rFonts w:ascii="Calibri" w:hAnsi="Calibri"/>
                <w:sz w:val="22"/>
              </w:rPr>
              <w:t>$3.45</w:t>
            </w:r>
          </w:p>
        </w:tc>
        <w:tc>
          <w:tcPr>
            <w:tcW w:type="dxa" w:w="1728"/>
          </w:tcPr>
          <w:p>
            <w:r>
              <w:rPr>
                <w:rFonts w:ascii="Calibri" w:hAnsi="Calibri"/>
                <w:b/>
                <w:color w:val="30A46C"/>
                <w:sz w:val="22"/>
              </w:rPr>
              <w:t>+13.0%</w:t>
            </w:r>
          </w:p>
        </w:tc>
        <w:tc>
          <w:tcPr>
            <w:tcW w:type="dxa" w:w="1728"/>
          </w:tcPr>
          <w:p>
            <w:r>
              <w:rPr>
                <w:rFonts w:ascii="Calibri" w:hAnsi="Calibri"/>
                <w:b/>
                <w:color w:val="30A46C"/>
                <w:sz w:val="22"/>
              </w:rPr>
              <w:t>Beat</w:t>
            </w:r>
          </w:p>
        </w:tc>
      </w:tr>
      <w:tr>
        <w:tc>
          <w:tcPr>
            <w:tcW w:type="dxa" w:w="1728"/>
          </w:tcPr>
          <w:p>
            <w:r>
              <w:rPr>
                <w:rFonts w:ascii="Calibri" w:hAnsi="Calibri"/>
                <w:sz w:val="22"/>
              </w:rPr>
              <w:t>FY2026 Q1 (Dec 2025)</w:t>
            </w:r>
          </w:p>
        </w:tc>
        <w:tc>
          <w:tcPr>
            <w:tcW w:type="dxa" w:w="1728"/>
          </w:tcPr>
          <w:p>
            <w:r>
              <w:rPr>
                <w:rFonts w:ascii="Calibri" w:hAnsi="Calibri"/>
                <w:sz w:val="22"/>
              </w:rPr>
              <w:t>$4.45</w:t>
            </w:r>
          </w:p>
        </w:tc>
        <w:tc>
          <w:tcPr>
            <w:tcW w:type="dxa" w:w="1728"/>
          </w:tcPr>
          <w:p>
            <w:r>
              <w:rPr>
                <w:rFonts w:ascii="Calibri" w:hAnsi="Calibri"/>
                <w:sz w:val="22"/>
              </w:rPr>
              <w:t>$3.66</w:t>
            </w:r>
          </w:p>
        </w:tc>
        <w:tc>
          <w:tcPr>
            <w:tcW w:type="dxa" w:w="1728"/>
          </w:tcPr>
          <w:p>
            <w:r>
              <w:rPr>
                <w:rFonts w:ascii="Calibri" w:hAnsi="Calibri"/>
                <w:b/>
                <w:color w:val="30A46C"/>
                <w:sz w:val="22"/>
              </w:rPr>
              <w:t>+21.6%</w:t>
            </w:r>
          </w:p>
        </w:tc>
        <w:tc>
          <w:tcPr>
            <w:tcW w:type="dxa" w:w="1728"/>
          </w:tcPr>
          <w:p>
            <w:r>
              <w:rPr>
                <w:rFonts w:ascii="Calibri" w:hAnsi="Calibri"/>
                <w:b/>
                <w:color w:val="30A46C"/>
                <w:sz w:val="22"/>
              </w:rPr>
              <w:t>Beat</w:t>
            </w:r>
          </w:p>
        </w:tc>
      </w:tr>
      <w:tr>
        <w:tc>
          <w:tcPr>
            <w:tcW w:type="dxa" w:w="1728"/>
          </w:tcPr>
          <w:p>
            <w:r>
              <w:rPr>
                <w:rFonts w:ascii="Calibri" w:hAnsi="Calibri"/>
                <w:sz w:val="22"/>
              </w:rPr>
              <w:t>FY2025 Q4 (Sep 2025)</w:t>
            </w:r>
          </w:p>
        </w:tc>
        <w:tc>
          <w:tcPr>
            <w:tcW w:type="dxa" w:w="1728"/>
          </w:tcPr>
          <w:p>
            <w:r>
              <w:rPr>
                <w:rFonts w:ascii="Calibri" w:hAnsi="Calibri"/>
                <w:sz w:val="22"/>
              </w:rPr>
              <w:t>$4.39</w:t>
            </w:r>
          </w:p>
        </w:tc>
        <w:tc>
          <w:tcPr>
            <w:tcW w:type="dxa" w:w="1728"/>
          </w:tcPr>
          <w:p>
            <w:r>
              <w:rPr>
                <w:rFonts w:ascii="Calibri" w:hAnsi="Calibri"/>
                <w:sz w:val="22"/>
              </w:rPr>
              <w:t>$3.98</w:t>
            </w:r>
          </w:p>
        </w:tc>
        <w:tc>
          <w:tcPr>
            <w:tcW w:type="dxa" w:w="1728"/>
          </w:tcPr>
          <w:p>
            <w:r>
              <w:rPr>
                <w:rFonts w:ascii="Calibri" w:hAnsi="Calibri"/>
                <w:b/>
                <w:color w:val="30A46C"/>
                <w:sz w:val="22"/>
              </w:rPr>
              <w:t>+10.3%</w:t>
            </w:r>
          </w:p>
        </w:tc>
        <w:tc>
          <w:tcPr>
            <w:tcW w:type="dxa" w:w="1728"/>
          </w:tcPr>
          <w:p>
            <w:r>
              <w:rPr>
                <w:rFonts w:ascii="Calibri" w:hAnsi="Calibri"/>
                <w:b/>
                <w:color w:val="30A46C"/>
                <w:sz w:val="22"/>
              </w:rPr>
              <w:t>Beat</w:t>
            </w:r>
          </w:p>
        </w:tc>
      </w:tr>
      <w:tr>
        <w:tc>
          <w:tcPr>
            <w:tcW w:type="dxa" w:w="1728"/>
          </w:tcPr>
          <w:p>
            <w:r>
              <w:rPr>
                <w:rFonts w:ascii="Calibri" w:hAnsi="Calibri"/>
                <w:sz w:val="22"/>
              </w:rPr>
              <w:t>FY2025 Q3 (Jun 2025)</w:t>
            </w:r>
          </w:p>
        </w:tc>
        <w:tc>
          <w:tcPr>
            <w:tcW w:type="dxa" w:w="1728"/>
          </w:tcPr>
          <w:p>
            <w:r>
              <w:rPr>
                <w:rFonts w:ascii="Calibri" w:hAnsi="Calibri"/>
                <w:sz w:val="22"/>
              </w:rPr>
              <w:t>$4.16</w:t>
            </w:r>
          </w:p>
        </w:tc>
        <w:tc>
          <w:tcPr>
            <w:tcW w:type="dxa" w:w="1728"/>
          </w:tcPr>
          <w:p>
            <w:r>
              <w:rPr>
                <w:rFonts w:ascii="Calibri" w:hAnsi="Calibri"/>
                <w:sz w:val="22"/>
              </w:rPr>
              <w:t>$3.50</w:t>
            </w:r>
          </w:p>
        </w:tc>
        <w:tc>
          <w:tcPr>
            <w:tcW w:type="dxa" w:w="1728"/>
          </w:tcPr>
          <w:p>
            <w:r>
              <w:rPr>
                <w:rFonts w:ascii="Calibri" w:hAnsi="Calibri"/>
                <w:b/>
                <w:color w:val="30A46C"/>
                <w:sz w:val="22"/>
              </w:rPr>
              <w:t>+18.9%</w:t>
            </w:r>
          </w:p>
        </w:tc>
        <w:tc>
          <w:tcPr>
            <w:tcW w:type="dxa" w:w="1728"/>
          </w:tcPr>
          <w:p>
            <w:r>
              <w:rPr>
                <w:rFonts w:ascii="Calibri" w:hAnsi="Calibri"/>
                <w:b/>
                <w:color w:val="30A46C"/>
                <w:sz w:val="22"/>
              </w:rPr>
              <w:t>Beat</w:t>
            </w:r>
          </w:p>
        </w:tc>
      </w:tr>
      <w:tr>
        <w:tc>
          <w:tcPr>
            <w:tcW w:type="dxa" w:w="1728"/>
          </w:tcPr>
          <w:p>
            <w:r>
              <w:rPr>
                <w:rFonts w:ascii="Calibri" w:hAnsi="Calibri"/>
                <w:sz w:val="22"/>
              </w:rPr>
              <w:t>FY2025 Q2 (Mar 2025)</w:t>
            </w:r>
          </w:p>
        </w:tc>
        <w:tc>
          <w:tcPr>
            <w:tcW w:type="dxa" w:w="1728"/>
          </w:tcPr>
          <w:p>
            <w:r>
              <w:rPr>
                <w:rFonts w:ascii="Calibri" w:hAnsi="Calibri"/>
                <w:sz w:val="22"/>
              </w:rPr>
              <w:t>$3.42</w:t>
            </w:r>
          </w:p>
        </w:tc>
        <w:tc>
          <w:tcPr>
            <w:tcW w:type="dxa" w:w="1728"/>
          </w:tcPr>
          <w:p>
            <w:r>
              <w:rPr>
                <w:rFonts w:ascii="Calibri" w:hAnsi="Calibri"/>
                <w:sz w:val="22"/>
              </w:rPr>
              <w:t>$3.11</w:t>
            </w:r>
          </w:p>
        </w:tc>
        <w:tc>
          <w:tcPr>
            <w:tcW w:type="dxa" w:w="1728"/>
          </w:tcPr>
          <w:p>
            <w:r>
              <w:rPr>
                <w:rFonts w:ascii="Calibri" w:hAnsi="Calibri"/>
                <w:b/>
                <w:color w:val="30A46C"/>
                <w:sz w:val="22"/>
              </w:rPr>
              <w:t>+10.0%</w:t>
            </w:r>
          </w:p>
        </w:tc>
        <w:tc>
          <w:tcPr>
            <w:tcW w:type="dxa" w:w="1728"/>
          </w:tcPr>
          <w:p>
            <w:r>
              <w:rPr>
                <w:rFonts w:ascii="Calibri" w:hAnsi="Calibri"/>
                <w:b/>
                <w:color w:val="30A46C"/>
                <w:sz w:val="22"/>
              </w:rPr>
              <w:t>Beat</w:t>
            </w:r>
          </w:p>
        </w:tc>
      </w:tr>
      <w:tr>
        <w:tc>
          <w:tcPr>
            <w:tcW w:type="dxa" w:w="1728"/>
          </w:tcPr>
          <w:p>
            <w:r>
              <w:rPr>
                <w:rFonts w:ascii="Calibri" w:hAnsi="Calibri"/>
                <w:sz w:val="22"/>
              </w:rPr>
              <w:t>FY2025 Q1 (Dec 2024)</w:t>
            </w:r>
          </w:p>
        </w:tc>
        <w:tc>
          <w:tcPr>
            <w:tcW w:type="dxa" w:w="1728"/>
          </w:tcPr>
          <w:p>
            <w:r>
              <w:rPr>
                <w:rFonts w:ascii="Calibri" w:hAnsi="Calibri"/>
                <w:sz w:val="22"/>
              </w:rPr>
              <w:t>$3.84</w:t>
            </w:r>
          </w:p>
        </w:tc>
        <w:tc>
          <w:tcPr>
            <w:tcW w:type="dxa" w:w="1728"/>
          </w:tcPr>
          <w:p>
            <w:r>
              <w:rPr>
                <w:rFonts w:ascii="Calibri" w:hAnsi="Calibri"/>
                <w:sz w:val="22"/>
              </w:rPr>
              <w:t>$3.37</w:t>
            </w:r>
          </w:p>
        </w:tc>
        <w:tc>
          <w:tcPr>
            <w:tcW w:type="dxa" w:w="1728"/>
          </w:tcPr>
          <w:p>
            <w:r>
              <w:rPr>
                <w:rFonts w:ascii="Calibri" w:hAnsi="Calibri"/>
                <w:b/>
                <w:color w:val="30A46C"/>
                <w:sz w:val="22"/>
              </w:rPr>
              <w:t>+13.9%</w:t>
            </w:r>
          </w:p>
        </w:tc>
        <w:tc>
          <w:tcPr>
            <w:tcW w:type="dxa" w:w="1728"/>
          </w:tcPr>
          <w:p>
            <w:r>
              <w:rPr>
                <w:rFonts w:ascii="Calibri" w:hAnsi="Calibri"/>
                <w:b/>
                <w:color w:val="30A46C"/>
                <w:sz w:val="22"/>
              </w:rPr>
              <w:t>Beat</w:t>
            </w:r>
          </w:p>
        </w:tc>
      </w:tr>
      <w:tr>
        <w:tc>
          <w:tcPr>
            <w:tcW w:type="dxa" w:w="1728"/>
          </w:tcPr>
          <w:p>
            <w:r>
              <w:rPr>
                <w:rFonts w:ascii="Calibri" w:hAnsi="Calibri"/>
                <w:sz w:val="22"/>
              </w:rPr>
              <w:t>FY2024 Q4 (Sep 2024)</w:t>
            </w:r>
          </w:p>
        </w:tc>
        <w:tc>
          <w:tcPr>
            <w:tcW w:type="dxa" w:w="1728"/>
          </w:tcPr>
          <w:p>
            <w:r>
              <w:rPr>
                <w:rFonts w:ascii="Calibri" w:hAnsi="Calibri"/>
                <w:sz w:val="22"/>
              </w:rPr>
              <w:t>$3.67</w:t>
            </w:r>
          </w:p>
        </w:tc>
        <w:tc>
          <w:tcPr>
            <w:tcW w:type="dxa" w:w="1728"/>
          </w:tcPr>
          <w:p>
            <w:r>
              <w:rPr>
                <w:rFonts w:ascii="Calibri" w:hAnsi="Calibri"/>
                <w:sz w:val="22"/>
              </w:rPr>
              <w:t>$3.44</w:t>
            </w:r>
          </w:p>
        </w:tc>
        <w:tc>
          <w:tcPr>
            <w:tcW w:type="dxa" w:w="1728"/>
          </w:tcPr>
          <w:p>
            <w:r>
              <w:rPr>
                <w:rFonts w:ascii="Calibri" w:hAnsi="Calibri"/>
                <w:b/>
                <w:color w:val="30A46C"/>
                <w:sz w:val="22"/>
              </w:rPr>
              <w:t>+6.7%</w:t>
            </w:r>
          </w:p>
        </w:tc>
        <w:tc>
          <w:tcPr>
            <w:tcW w:type="dxa" w:w="1728"/>
          </w:tcPr>
          <w:p>
            <w:r>
              <w:rPr>
                <w:rFonts w:ascii="Calibri" w:hAnsi="Calibri"/>
                <w:b/>
                <w:color w:val="30A46C"/>
                <w:sz w:val="22"/>
              </w:rPr>
              <w:t>Beat</w:t>
            </w:r>
          </w:p>
        </w:tc>
      </w:tr>
      <w:tr>
        <w:tc>
          <w:tcPr>
            <w:tcW w:type="dxa" w:w="1728"/>
          </w:tcPr>
          <w:p>
            <w:r>
              <w:rPr>
                <w:rFonts w:ascii="Calibri" w:hAnsi="Calibri"/>
                <w:sz w:val="22"/>
              </w:rPr>
              <w:t>FY2024 Q3 (Jun 2024)</w:t>
            </w:r>
          </w:p>
        </w:tc>
        <w:tc>
          <w:tcPr>
            <w:tcW w:type="dxa" w:w="1728"/>
          </w:tcPr>
          <w:p>
            <w:r>
              <w:rPr>
                <w:rFonts w:ascii="Calibri" w:hAnsi="Calibri"/>
                <w:sz w:val="22"/>
              </w:rPr>
              <w:t>$3.36</w:t>
            </w:r>
          </w:p>
        </w:tc>
        <w:tc>
          <w:tcPr>
            <w:tcW w:type="dxa" w:w="1728"/>
          </w:tcPr>
          <w:p>
            <w:r>
              <w:rPr>
                <w:rFonts w:ascii="Calibri" w:hAnsi="Calibri"/>
                <w:sz w:val="22"/>
              </w:rPr>
              <w:t>$2.97</w:t>
            </w:r>
          </w:p>
        </w:tc>
        <w:tc>
          <w:tcPr>
            <w:tcW w:type="dxa" w:w="1728"/>
          </w:tcPr>
          <w:p>
            <w:r>
              <w:rPr>
                <w:rFonts w:ascii="Calibri" w:hAnsi="Calibri"/>
                <w:b/>
                <w:color w:val="30A46C"/>
                <w:sz w:val="22"/>
              </w:rPr>
              <w:t>+13.1%</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FFIV has beaten consensus on both revenue and non-GAAP EPS in each of the last eight consecutive quarters, with EPS beats averaging ~13–22% above consensus — a pattern that reflects both conservative guidance and a Street that has consistently underestimated the pace of the hardware refresh cycle and operating leverage.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b/>
          <w:color w:val="525866"/>
          <w:sz w:val="22"/>
        </w:rPr>
        <w:t>Guidance was raised materially at the Q2 print (April 28) and then reinforced with a long-term framework at the May 28 Analyst Day; no further numerical revisions have been issued since, but the tone has shifted to its most constructive posture in at least two years, with management explicitly guiding for a software growth rate inflection in FY27 and upper-single-digit total revenue growth through FY29.</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FY26 Earnings Call, Apr 28,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Q3 FY26 Revenue</w:t>
            </w:r>
          </w:p>
        </w:tc>
        <w:tc>
          <w:tcPr>
            <w:tcW w:type="dxa" w:w="1728"/>
          </w:tcPr>
          <w:p>
            <w:r>
              <w:rPr>
                <w:rFonts w:ascii="Calibri" w:hAnsi="Calibri"/>
                <w:sz w:val="22"/>
              </w:rPr>
              <w:t>$820–$840M</w:t>
            </w:r>
          </w:p>
        </w:tc>
        <w:tc>
          <w:tcPr>
            <w:tcW w:type="dxa" w:w="1728"/>
          </w:tcPr>
          <w:p>
            <w:r>
              <w:rPr>
                <w:rFonts w:ascii="Calibri" w:hAnsi="Calibri"/>
                <w:sz w:val="22"/>
              </w:rPr>
              <w:t>—</w:t>
            </w:r>
          </w:p>
        </w:tc>
        <w:tc>
          <w:tcPr>
            <w:tcW w:type="dxa" w:w="1728"/>
          </w:tcPr>
          <w:p>
            <w:r>
              <w:rPr>
                <w:rFonts w:ascii="Calibri" w:hAnsi="Calibri"/>
                <w:sz w:val="22"/>
              </w:rPr>
              <w:t>$835.0M</w:t>
            </w:r>
          </w:p>
        </w:tc>
        <w:tc>
          <w:tcPr>
            <w:tcW w:type="dxa" w:w="1728"/>
          </w:tcPr>
          <w:p>
            <w:r>
              <w:rPr>
                <w:rFonts w:ascii="Calibri" w:hAnsi="Calibri"/>
                <w:sz w:val="22"/>
              </w:rPr>
              <w:t>Unchanged since Apr 28 earnings call; consensus sits +0.6% above midpoint</w:t>
            </w:r>
          </w:p>
        </w:tc>
      </w:tr>
      <w:tr>
        <w:tc>
          <w:tcPr>
            <w:tcW w:type="dxa" w:w="1728"/>
          </w:tcPr>
          <w:p>
            <w:r>
              <w:rPr>
                <w:rFonts w:ascii="Calibri" w:hAnsi="Calibri"/>
                <w:sz w:val="22"/>
              </w:rPr>
              <w:t>Q3 FY26 Non-GAAP EPS</w:t>
            </w:r>
          </w:p>
        </w:tc>
        <w:tc>
          <w:tcPr>
            <w:tcW w:type="dxa" w:w="1728"/>
          </w:tcPr>
          <w:p>
            <w:r>
              <w:rPr>
                <w:rFonts w:ascii="Calibri" w:hAnsi="Calibri"/>
                <w:sz w:val="22"/>
              </w:rPr>
              <w:t>$3.91–$4.03</w:t>
            </w:r>
          </w:p>
        </w:tc>
        <w:tc>
          <w:tcPr>
            <w:tcW w:type="dxa" w:w="1728"/>
          </w:tcPr>
          <w:p>
            <w:r>
              <w:rPr>
                <w:rFonts w:ascii="Calibri" w:hAnsi="Calibri"/>
                <w:sz w:val="22"/>
              </w:rPr>
              <w:t>—</w:t>
            </w:r>
          </w:p>
        </w:tc>
        <w:tc>
          <w:tcPr>
            <w:tcW w:type="dxa" w:w="1728"/>
          </w:tcPr>
          <w:p>
            <w:r>
              <w:rPr>
                <w:rFonts w:ascii="Calibri" w:hAnsi="Calibri"/>
                <w:sz w:val="22"/>
              </w:rPr>
              <w:t>$4.01</w:t>
            </w:r>
          </w:p>
        </w:tc>
        <w:tc>
          <w:tcPr>
            <w:tcW w:type="dxa" w:w="1728"/>
          </w:tcPr>
          <w:p>
            <w:r>
              <w:rPr>
                <w:rFonts w:ascii="Calibri" w:hAnsi="Calibri"/>
                <w:sz w:val="22"/>
              </w:rPr>
              <w:t>Unchanged; consensus +1.0% above midpoint</w:t>
            </w:r>
          </w:p>
        </w:tc>
      </w:tr>
      <w:tr>
        <w:tc>
          <w:tcPr>
            <w:tcW w:type="dxa" w:w="1728"/>
          </w:tcPr>
          <w:p>
            <w:r>
              <w:rPr>
                <w:rFonts w:ascii="Calibri" w:hAnsi="Calibri"/>
                <w:sz w:val="22"/>
              </w:rPr>
              <w:t>Q3 FY26 Non-GAAP Gross Margin</w:t>
            </w:r>
          </w:p>
        </w:tc>
        <w:tc>
          <w:tcPr>
            <w:tcW w:type="dxa" w:w="1728"/>
          </w:tcPr>
          <w:p>
            <w:r>
              <w:rPr>
                <w:rFonts w:ascii="Calibri" w:hAnsi="Calibri"/>
                <w:sz w:val="22"/>
              </w:rPr>
              <w:t>82.5%–83.5%</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Memory cost step-up flagged to begin in Q3, full run rate in Q4</w:t>
            </w:r>
          </w:p>
        </w:tc>
      </w:tr>
      <w:tr>
        <w:tc>
          <w:tcPr>
            <w:tcW w:type="dxa" w:w="1728"/>
          </w:tcPr>
          <w:p>
            <w:r>
              <w:rPr>
                <w:rFonts w:ascii="Calibri" w:hAnsi="Calibri"/>
                <w:sz w:val="22"/>
              </w:rPr>
              <w:t>FY26 Revenue Growth</w:t>
            </w:r>
          </w:p>
        </w:tc>
        <w:tc>
          <w:tcPr>
            <w:tcW w:type="dxa" w:w="1728"/>
          </w:tcPr>
          <w:p>
            <w:r>
              <w:rPr>
                <w:rFonts w:ascii="Calibri" w:hAnsi="Calibri"/>
                <w:sz w:val="22"/>
              </w:rPr>
              <w:t>7%–8% (raised from 5%–6% at Q1)</w:t>
            </w:r>
          </w:p>
        </w:tc>
        <w:tc>
          <w:tcPr>
            <w:tcW w:type="dxa" w:w="1728"/>
          </w:tcPr>
          <w:p>
            <w:r>
              <w:rPr>
                <w:rFonts w:ascii="Calibri" w:hAnsi="Calibri"/>
                <w:sz w:val="22"/>
              </w:rPr>
              <w:t>—</w:t>
            </w:r>
          </w:p>
        </w:tc>
        <w:tc>
          <w:tcPr>
            <w:tcW w:type="dxa" w:w="1728"/>
          </w:tcPr>
          <w:p>
            <w:r>
              <w:rPr>
                <w:rFonts w:ascii="Calibri" w:hAnsi="Calibri"/>
                <w:sz w:val="22"/>
              </w:rPr>
              <w:t>$3,329M (+7.3% YoY)</w:t>
            </w:r>
          </w:p>
        </w:tc>
        <w:tc>
          <w:tcPr>
            <w:tcW w:type="dxa" w:w="1728"/>
          </w:tcPr>
          <w:p>
            <w:r>
              <w:rPr>
                <w:rFonts w:ascii="Calibri" w:hAnsi="Calibri"/>
                <w:sz w:val="22"/>
              </w:rPr>
              <w:t>↑ Raised at Q2 earnings Apr 28; tone confident; consensus tracking near midpoint</w:t>
            </w:r>
          </w:p>
        </w:tc>
      </w:tr>
      <w:tr>
        <w:tc>
          <w:tcPr>
            <w:tcW w:type="dxa" w:w="1728"/>
          </w:tcPr>
          <w:p>
            <w:r>
              <w:rPr>
                <w:rFonts w:ascii="Calibri" w:hAnsi="Calibri"/>
                <w:sz w:val="22"/>
              </w:rPr>
              <w:t>FY26 Non-GAAP EPS</w:t>
            </w:r>
          </w:p>
        </w:tc>
        <w:tc>
          <w:tcPr>
            <w:tcW w:type="dxa" w:w="1728"/>
          </w:tcPr>
          <w:p>
            <w:r>
              <w:rPr>
                <w:rFonts w:ascii="Calibri" w:hAnsi="Calibri"/>
                <w:sz w:val="22"/>
              </w:rPr>
              <w:t>$16.25–$16.55 (raised from $15.65–$16.05 at Q1)</w:t>
            </w:r>
          </w:p>
        </w:tc>
        <w:tc>
          <w:tcPr>
            <w:tcW w:type="dxa" w:w="1728"/>
          </w:tcPr>
          <w:p>
            <w:r>
              <w:rPr>
                <w:rFonts w:ascii="Calibri" w:hAnsi="Calibri"/>
                <w:sz w:val="22"/>
              </w:rPr>
              <w:t>—</w:t>
            </w:r>
          </w:p>
        </w:tc>
        <w:tc>
          <w:tcPr>
            <w:tcW w:type="dxa" w:w="1728"/>
          </w:tcPr>
          <w:p>
            <w:r>
              <w:rPr>
                <w:rFonts w:ascii="Calibri" w:hAnsi="Calibri"/>
                <w:sz w:val="22"/>
              </w:rPr>
              <w:t>$16.51</w:t>
            </w:r>
          </w:p>
        </w:tc>
        <w:tc>
          <w:tcPr>
            <w:tcW w:type="dxa" w:w="1728"/>
          </w:tcPr>
          <w:p>
            <w:r>
              <w:rPr>
                <w:rFonts w:ascii="Calibri" w:hAnsi="Calibri"/>
                <w:sz w:val="22"/>
              </w:rPr>
              <w:t>↑ Raised at Q2 earnings Apr 28; consensus near top of range</w:t>
            </w:r>
          </w:p>
        </w:tc>
      </w:tr>
      <w:tr>
        <w:tc>
          <w:tcPr>
            <w:tcW w:type="dxa" w:w="1728"/>
          </w:tcPr>
          <w:p>
            <w:r>
              <w:rPr>
                <w:rFonts w:ascii="Calibri" w:hAnsi="Calibri"/>
                <w:sz w:val="22"/>
              </w:rPr>
              <w:t>FY26 Non-GAAP Gross Margin</w:t>
            </w:r>
          </w:p>
        </w:tc>
        <w:tc>
          <w:tcPr>
            <w:tcW w:type="dxa" w:w="1728"/>
          </w:tcPr>
          <w:p>
            <w:r>
              <w:rPr>
                <w:rFonts w:ascii="Calibri" w:hAnsi="Calibri"/>
                <w:sz w:val="22"/>
              </w:rPr>
              <w:t>82.5%–83.5%</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memory headwind expected to step up in Q4</w:t>
            </w:r>
          </w:p>
        </w:tc>
      </w:tr>
      <w:tr>
        <w:tc>
          <w:tcPr>
            <w:tcW w:type="dxa" w:w="1728"/>
          </w:tcPr>
          <w:p>
            <w:r>
              <w:rPr>
                <w:rFonts w:ascii="Calibri" w:hAnsi="Calibri"/>
                <w:sz w:val="22"/>
              </w:rPr>
              <w:t>FY26 Non-GAAP Operating Margin</w:t>
            </w:r>
          </w:p>
        </w:tc>
        <w:tc>
          <w:tcPr>
            <w:tcW w:type="dxa" w:w="1728"/>
          </w:tcPr>
          <w:p>
            <w:r>
              <w:rPr>
                <w:rFonts w:ascii="Calibri" w:hAnsi="Calibri"/>
                <w:sz w:val="22"/>
              </w:rPr>
              <w:t>34%–35%</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gross/op margin outlook held flat despite revenue raise</w:t>
            </w:r>
          </w:p>
        </w:tc>
      </w:tr>
      <w:tr>
        <w:tc>
          <w:tcPr>
            <w:tcW w:type="dxa" w:w="1728"/>
          </w:tcPr>
          <w:p>
            <w:r>
              <w:rPr>
                <w:rFonts w:ascii="Calibri" w:hAnsi="Calibri"/>
                <w:sz w:val="22"/>
              </w:rPr>
              <w:t>Long-Term Revenue Growth (FY27–FY29)</w:t>
            </w:r>
          </w:p>
        </w:tc>
        <w:tc>
          <w:tcPr>
            <w:tcW w:type="dxa" w:w="1728"/>
          </w:tcPr>
          <w:p>
            <w:r>
              <w:rPr>
                <w:rFonts w:ascii="Calibri" w:hAnsi="Calibri"/>
                <w:sz w:val="22"/>
              </w:rPr>
              <w:t>N/A (not previously guided)</w:t>
            </w:r>
          </w:p>
        </w:tc>
        <w:tc>
          <w:tcPr>
            <w:tcW w:type="dxa" w:w="1728"/>
          </w:tcPr>
          <w:p>
            <w:r>
              <w:rPr>
                <w:rFonts w:ascii="Calibri" w:hAnsi="Calibri"/>
                <w:sz w:val="22"/>
              </w:rPr>
              <w:t>Upper-single-digit growth through FY29 (Analyst Day, May 28, 2026)</w:t>
            </w:r>
          </w:p>
        </w:tc>
        <w:tc>
          <w:tcPr>
            <w:tcW w:type="dxa" w:w="1728"/>
          </w:tcPr>
          <w:p>
            <w:r>
              <w:rPr>
                <w:rFonts w:ascii="Calibri" w:hAnsi="Calibri"/>
                <w:sz w:val="22"/>
              </w:rPr>
              <w:t>$3,532M FY27 consensus</w:t>
            </w:r>
          </w:p>
        </w:tc>
        <w:tc>
          <w:tcPr>
            <w:tcW w:type="dxa" w:w="1728"/>
          </w:tcPr>
          <w:p>
            <w:r>
              <w:rPr>
                <w:rFonts w:ascii="Calibri" w:hAnsi="Calibri"/>
                <w:sz w:val="22"/>
              </w:rPr>
              <w:t>↑ New long-term framework introduced May 28; aspiration for double-digit beyond FY29</w:t>
            </w:r>
          </w:p>
        </w:tc>
      </w:tr>
      <w:tr>
        <w:tc>
          <w:tcPr>
            <w:tcW w:type="dxa" w:w="1728"/>
          </w:tcPr>
          <w:p>
            <w:r>
              <w:rPr>
                <w:rFonts w:ascii="Calibri" w:hAnsi="Calibri"/>
                <w:sz w:val="22"/>
              </w:rPr>
              <w:t>FY27 Software Revenue</w:t>
            </w:r>
          </w:p>
        </w:tc>
        <w:tc>
          <w:tcPr>
            <w:tcW w:type="dxa" w:w="1728"/>
          </w:tcPr>
          <w:p>
            <w:r>
              <w:rPr>
                <w:rFonts w:ascii="Calibri" w:hAnsi="Calibri"/>
                <w:sz w:val="22"/>
              </w:rPr>
              <w:t>Higher growth rate vs. FY26 (qualitative, Apr 28)</w:t>
            </w:r>
          </w:p>
        </w:tc>
        <w:tc>
          <w:tcPr>
            <w:tcW w:type="dxa" w:w="1728"/>
          </w:tcPr>
          <w:p>
            <w:r>
              <w:rPr>
                <w:rFonts w:ascii="Calibri" w:hAnsi="Calibri"/>
                <w:sz w:val="22"/>
              </w:rPr>
              <w:t>Consistent and sustainable double-digit growth (Analyst Day, May 28, 2026)</w:t>
            </w:r>
          </w:p>
        </w:tc>
        <w:tc>
          <w:tcPr>
            <w:tcW w:type="dxa" w:w="1728"/>
          </w:tcPr>
          <w:p>
            <w:r>
              <w:rPr>
                <w:rFonts w:ascii="Calibri" w:hAnsi="Calibri"/>
                <w:sz w:val="22"/>
              </w:rPr>
              <w:t>$948.7M (+12.5% YoY)</w:t>
            </w:r>
          </w:p>
        </w:tc>
        <w:tc>
          <w:tcPr>
            <w:tcW w:type="dxa" w:w="1728"/>
          </w:tcPr>
          <w:p>
            <w:r>
              <w:rPr>
                <w:rFonts w:ascii="Calibri" w:hAnsi="Calibri"/>
                <w:sz w:val="22"/>
              </w:rPr>
              <w:t>↑ Conviction increased at Analyst Day; consensus tracking in line with new framework</w:t>
            </w:r>
          </w:p>
        </w:tc>
      </w:tr>
    </w:tbl>
    <w:p>
      <w:r>
        <w:rPr>
          <w:rFonts w:ascii="Calibri" w:hAnsi="Calibri"/>
          <w:i/>
          <w:color w:val="525866"/>
          <w:sz w:val="22"/>
        </w:rPr>
        <w:t>Sources: F5 Q2 FY2026 Earnings Release and Earnings Call transcript (April 28, 2026); F5 Analyst and Investor Meeting transcript (May 28, 2026); Visible Alpha consensus data as of July 24, 2026.</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b/>
          <w:color w:val="525866"/>
          <w:sz w:val="22"/>
        </w:rPr>
        <w:t>Estimates have been broadly stable-to-slightly-positive since the Q2 print, with FY26 and FY27 consensus revenue and EPS drifting modestly higher — the Street is not aggressively front-running a beat, which preserves upside optionality; the primary divergence risk is gross margin, where consensus has no explicit estimate and management’s own guidance implies a sequential step-down beginning in Q3.</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(c. May 5, 2026)</w:t>
            </w:r>
          </w:p>
        </w:tc>
        <w:tc>
          <w:tcPr>
            <w:tcW w:type="dxa" w:w="1080"/>
            <w:shd w:val="clear" w:color="auto" w:fill="3B4259"/>
          </w:tcPr>
          <w:p>
            <w:r>
              <w:rPr>
                <w:rFonts w:ascii="Calibri" w:hAnsi="Calibri"/>
                <w:b/>
                <w:color w:val="FFFFFF"/>
                <w:sz w:val="22"/>
              </w:rPr>
              <w:t>Current Consensus (Jul 24,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28, 2026)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Net Revenue — Q3 FY26</w:t>
            </w:r>
          </w:p>
        </w:tc>
        <w:tc>
          <w:tcPr>
            <w:tcW w:type="dxa" w:w="1080"/>
          </w:tcPr>
          <w:p>
            <w:r>
              <w:rPr>
                <w:rFonts w:ascii="Calibri" w:hAnsi="Calibri"/>
                <w:sz w:val="22"/>
              </w:rPr>
              <w:t>$835.2M</w:t>
            </w:r>
          </w:p>
        </w:tc>
        <w:tc>
          <w:tcPr>
            <w:tcW w:type="dxa" w:w="1080"/>
          </w:tcPr>
          <w:p>
            <w:r>
              <w:rPr>
                <w:rFonts w:ascii="Calibri" w:hAnsi="Calibri"/>
                <w:sz w:val="22"/>
              </w:rPr>
              <w:t>$835.0M</w:t>
            </w:r>
          </w:p>
        </w:tc>
        <w:tc>
          <w:tcPr>
            <w:tcW w:type="dxa" w:w="1080"/>
          </w:tcPr>
          <w:p>
            <w:r>
              <w:rPr>
                <w:rFonts w:ascii="Calibri" w:hAnsi="Calibri"/>
                <w:sz w:val="22"/>
              </w:rPr>
              <w:t>−0.0%</w:t>
            </w:r>
          </w:p>
        </w:tc>
        <w:tc>
          <w:tcPr>
            <w:tcW w:type="dxa" w:w="1080"/>
          </w:tcPr>
          <w:p>
            <w:r>
              <w:rPr>
                <w:rFonts w:ascii="Calibri" w:hAnsi="Calibri"/>
                <w:sz w:val="22"/>
              </w:rPr>
              <w:t>$820–$840M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 above mid</w:t>
            </w:r>
          </w:p>
        </w:tc>
      </w:tr>
      <w:tr>
        <w:tc>
          <w:tcPr>
            <w:tcW w:type="dxa" w:w="1080"/>
          </w:tcPr>
          <w:p>
            <w:r>
              <w:rPr>
                <w:rFonts w:ascii="Calibri" w:hAnsi="Calibri"/>
                <w:sz w:val="22"/>
              </w:rPr>
              <w:t>Non-GAAP EPS — Q3 FY26</w:t>
            </w:r>
          </w:p>
        </w:tc>
        <w:tc>
          <w:tcPr>
            <w:tcW w:type="dxa" w:w="1080"/>
          </w:tcPr>
          <w:p>
            <w:r>
              <w:rPr>
                <w:rFonts w:ascii="Calibri" w:hAnsi="Calibri"/>
                <w:sz w:val="22"/>
              </w:rPr>
              <w:t>$4.01</w:t>
            </w:r>
          </w:p>
        </w:tc>
        <w:tc>
          <w:tcPr>
            <w:tcW w:type="dxa" w:w="1080"/>
          </w:tcPr>
          <w:p>
            <w:r>
              <w:rPr>
                <w:rFonts w:ascii="Calibri" w:hAnsi="Calibri"/>
                <w:sz w:val="22"/>
              </w:rPr>
              <w:t>$4.01</w:t>
            </w:r>
          </w:p>
        </w:tc>
        <w:tc>
          <w:tcPr>
            <w:tcW w:type="dxa" w:w="1080"/>
          </w:tcPr>
          <w:p>
            <w:r>
              <w:rPr>
                <w:rFonts w:ascii="Calibri" w:hAnsi="Calibri"/>
                <w:sz w:val="22"/>
              </w:rPr>
              <w:t>0.0%</w:t>
            </w:r>
          </w:p>
        </w:tc>
        <w:tc>
          <w:tcPr>
            <w:tcW w:type="dxa" w:w="1080"/>
          </w:tcPr>
          <w:p>
            <w:r>
              <w:rPr>
                <w:rFonts w:ascii="Calibri" w:hAnsi="Calibri"/>
                <w:sz w:val="22"/>
              </w:rPr>
              <w:t>$3.91–$4.03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above mid</w:t>
            </w:r>
          </w:p>
        </w:tc>
      </w:tr>
      <w:tr>
        <w:tc>
          <w:tcPr>
            <w:tcW w:type="dxa" w:w="1080"/>
          </w:tcPr>
          <w:p>
            <w:r>
              <w:rPr>
                <w:rFonts w:ascii="Calibri" w:hAnsi="Calibri"/>
                <w:sz w:val="22"/>
              </w:rPr>
              <w:t>Net Revenue — FY26</w:t>
            </w:r>
          </w:p>
        </w:tc>
        <w:tc>
          <w:tcPr>
            <w:tcW w:type="dxa" w:w="1080"/>
          </w:tcPr>
          <w:p>
            <w:r>
              <w:rPr>
                <w:rFonts w:ascii="Calibri" w:hAnsi="Calibri"/>
                <w:sz w:val="22"/>
              </w:rPr>
              <w:t>$3,291.6M</w:t>
            </w:r>
          </w:p>
        </w:tc>
        <w:tc>
          <w:tcPr>
            <w:tcW w:type="dxa" w:w="1080"/>
          </w:tcPr>
          <w:p>
            <w:r>
              <w:rPr>
                <w:rFonts w:ascii="Calibri" w:hAnsi="Calibri"/>
                <w:sz w:val="22"/>
              </w:rPr>
              <w:t>$3,329.2M</w:t>
            </w:r>
          </w:p>
        </w:tc>
        <w:tc>
          <w:tcPr>
            <w:tcW w:type="dxa" w:w="1080"/>
          </w:tcPr>
          <w:p>
            <w:r>
              <w:rPr>
                <w:rFonts w:ascii="Calibri" w:hAnsi="Calibri"/>
                <w:b/>
                <w:color w:val="30A46C"/>
                <w:sz w:val="22"/>
              </w:rPr>
              <w:t>+1.1%</w:t>
            </w:r>
          </w:p>
        </w:tc>
        <w:tc>
          <w:tcPr>
            <w:tcW w:type="dxa" w:w="1080"/>
          </w:tcPr>
          <w:p>
            <w:r>
              <w:rPr>
                <w:rFonts w:ascii="Calibri" w:hAnsi="Calibri"/>
                <w:sz w:val="22"/>
              </w:rPr>
              <w:t>7%–8% growth (~$3,278–$3,311M)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above mid</w:t>
            </w:r>
          </w:p>
        </w:tc>
      </w:tr>
      <w:tr>
        <w:tc>
          <w:tcPr>
            <w:tcW w:type="dxa" w:w="1080"/>
          </w:tcPr>
          <w:p>
            <w:r>
              <w:rPr>
                <w:rFonts w:ascii="Calibri" w:hAnsi="Calibri"/>
                <w:sz w:val="22"/>
              </w:rPr>
              <w:t>Non-GAAP EPS — FY26</w:t>
            </w:r>
          </w:p>
        </w:tc>
        <w:tc>
          <w:tcPr>
            <w:tcW w:type="dxa" w:w="1080"/>
          </w:tcPr>
          <w:p>
            <w:r>
              <w:rPr>
                <w:rFonts w:ascii="Calibri" w:hAnsi="Calibri"/>
                <w:sz w:val="22"/>
              </w:rPr>
              <w:t>$16.50</w:t>
            </w:r>
          </w:p>
        </w:tc>
        <w:tc>
          <w:tcPr>
            <w:tcW w:type="dxa" w:w="1080"/>
          </w:tcPr>
          <w:p>
            <w:r>
              <w:rPr>
                <w:rFonts w:ascii="Calibri" w:hAnsi="Calibri"/>
                <w:sz w:val="22"/>
              </w:rPr>
              <w:t>$16.51</w:t>
            </w:r>
          </w:p>
        </w:tc>
        <w:tc>
          <w:tcPr>
            <w:tcW w:type="dxa" w:w="1080"/>
          </w:tcPr>
          <w:p>
            <w:r>
              <w:rPr>
                <w:rFonts w:ascii="Calibri" w:hAnsi="Calibri"/>
                <w:sz w:val="22"/>
              </w:rPr>
              <w:t>+0.1%</w:t>
            </w:r>
          </w:p>
        </w:tc>
        <w:tc>
          <w:tcPr>
            <w:tcW w:type="dxa" w:w="1080"/>
          </w:tcPr>
          <w:p>
            <w:r>
              <w:rPr>
                <w:rFonts w:ascii="Calibri" w:hAnsi="Calibri"/>
                <w:sz w:val="22"/>
              </w:rPr>
              <w:t>$16.25–$16.55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above mid</w:t>
            </w:r>
          </w:p>
        </w:tc>
      </w:tr>
      <w:tr>
        <w:tc>
          <w:tcPr>
            <w:tcW w:type="dxa" w:w="1080"/>
          </w:tcPr>
          <w:p>
            <w:r>
              <w:rPr>
                <w:rFonts w:ascii="Calibri" w:hAnsi="Calibri"/>
                <w:sz w:val="22"/>
              </w:rPr>
              <w:t>Net Revenue — FY27</w:t>
            </w:r>
          </w:p>
        </w:tc>
        <w:tc>
          <w:tcPr>
            <w:tcW w:type="dxa" w:w="1080"/>
          </w:tcPr>
          <w:p>
            <w:r>
              <w:rPr>
                <w:rFonts w:ascii="Calibri" w:hAnsi="Calibri"/>
                <w:sz w:val="22"/>
              </w:rPr>
              <w:t>$3,461.6M</w:t>
            </w:r>
          </w:p>
        </w:tc>
        <w:tc>
          <w:tcPr>
            <w:tcW w:type="dxa" w:w="1080"/>
          </w:tcPr>
          <w:p>
            <w:r>
              <w:rPr>
                <w:rFonts w:ascii="Calibri" w:hAnsi="Calibri"/>
                <w:sz w:val="22"/>
              </w:rPr>
              <w:t>$3,532.5M</w:t>
            </w:r>
          </w:p>
        </w:tc>
        <w:tc>
          <w:tcPr>
            <w:tcW w:type="dxa" w:w="1080"/>
          </w:tcPr>
          <w:p>
            <w:r>
              <w:rPr>
                <w:rFonts w:ascii="Calibri" w:hAnsi="Calibri"/>
                <w:b/>
                <w:color w:val="30A46C"/>
                <w:sz w:val="22"/>
              </w:rPr>
              <w:t>+2.0%</w:t>
            </w:r>
          </w:p>
        </w:tc>
        <w:tc>
          <w:tcPr>
            <w:tcW w:type="dxa" w:w="1080"/>
          </w:tcPr>
          <w:p>
            <w:r>
              <w:rPr>
                <w:rFonts w:ascii="Calibri" w:hAnsi="Calibri"/>
                <w:sz w:val="22"/>
              </w:rPr>
              <w:t>Upper-single-digit growth (Analyst Day, May 28)</w:t>
            </w:r>
          </w:p>
        </w:tc>
        <w:tc>
          <w:tcPr>
            <w:tcW w:type="dxa" w:w="1080"/>
          </w:tcPr>
          <w:p>
            <w:r>
              <w:rPr>
                <w:rFonts w:ascii="Calibri" w:hAnsi="Calibri"/>
                <w:sz w:val="22"/>
              </w:rPr>
              <w:t>Upper-single-digit growth through FY29</w:t>
            </w:r>
          </w:p>
        </w:tc>
        <w:tc>
          <w:tcPr>
            <w:tcW w:type="dxa" w:w="1080"/>
          </w:tcPr>
          <w:p>
            <w:r>
              <w:rPr>
                <w:rFonts w:ascii="Calibri" w:hAnsi="Calibri"/>
                <w:sz w:val="22"/>
              </w:rPr>
              <w:t>↑ Framework raised at Analyst Day</w:t>
            </w:r>
          </w:p>
        </w:tc>
        <w:tc>
          <w:tcPr>
            <w:tcW w:type="dxa" w:w="1080"/>
          </w:tcPr>
          <w:p>
            <w:r>
              <w:rPr>
                <w:rFonts w:ascii="Calibri" w:hAnsi="Calibri"/>
                <w:sz w:val="22"/>
              </w:rPr>
              <w:t>Tracking in line with new framework</w:t>
            </w:r>
          </w:p>
        </w:tc>
      </w:tr>
      <w:tr>
        <w:tc>
          <w:tcPr>
            <w:tcW w:type="dxa" w:w="1080"/>
          </w:tcPr>
          <w:p>
            <w:r>
              <w:rPr>
                <w:rFonts w:ascii="Calibri" w:hAnsi="Calibri"/>
                <w:sz w:val="22"/>
              </w:rPr>
              <w:t>Non-GAAP EPS — FY27</w:t>
            </w:r>
          </w:p>
        </w:tc>
        <w:tc>
          <w:tcPr>
            <w:tcW w:type="dxa" w:w="1080"/>
          </w:tcPr>
          <w:p>
            <w:r>
              <w:rPr>
                <w:rFonts w:ascii="Calibri" w:hAnsi="Calibri"/>
                <w:sz w:val="22"/>
              </w:rPr>
              <w:t>$17.29</w:t>
            </w:r>
          </w:p>
        </w:tc>
        <w:tc>
          <w:tcPr>
            <w:tcW w:type="dxa" w:w="1080"/>
          </w:tcPr>
          <w:p>
            <w:r>
              <w:rPr>
                <w:rFonts w:ascii="Calibri" w:hAnsi="Calibri"/>
                <w:sz w:val="22"/>
              </w:rPr>
              <w:t>$17.57</w:t>
            </w:r>
          </w:p>
        </w:tc>
        <w:tc>
          <w:tcPr>
            <w:tcW w:type="dxa" w:w="1080"/>
          </w:tcPr>
          <w:p>
            <w:r>
              <w:rPr>
                <w:rFonts w:ascii="Calibri" w:hAnsi="Calibri"/>
                <w:b/>
                <w:color w:val="30A46C"/>
                <w:sz w:val="22"/>
              </w:rPr>
              <w:t>+1.6%</w:t>
            </w:r>
          </w:p>
        </w:tc>
        <w:tc>
          <w:tcPr>
            <w:tcW w:type="dxa" w:w="1080"/>
          </w:tcPr>
          <w:p>
            <w:r>
              <w:rPr>
                <w:rFonts w:ascii="Calibri" w:hAnsi="Calibri"/>
                <w:sz w:val="22"/>
              </w:rPr>
              <w:t>Double-digit EPS growth (qualitative)</w:t>
            </w:r>
          </w:p>
        </w:tc>
        <w:tc>
          <w:tcPr>
            <w:tcW w:type="dxa" w:w="1080"/>
          </w:tcPr>
          <w:p>
            <w:r>
              <w:rPr>
                <w:rFonts w:ascii="Calibri" w:hAnsi="Calibri"/>
                <w:sz w:val="22"/>
              </w:rPr>
              <w:t>Sustainable double-digit EPS growth (Analyst Day)</w:t>
            </w:r>
          </w:p>
        </w:tc>
        <w:tc>
          <w:tcPr>
            <w:tcW w:type="dxa" w:w="1080"/>
          </w:tcPr>
          <w:p>
            <w:r>
              <w:rPr>
                <w:rFonts w:ascii="Calibri" w:hAnsi="Calibri"/>
                <w:sz w:val="22"/>
              </w:rPr>
              <w:t>↑ Conviction reinforced at Analyst Day</w:t>
            </w:r>
          </w:p>
        </w:tc>
        <w:tc>
          <w:tcPr>
            <w:tcW w:type="dxa" w:w="1080"/>
          </w:tcPr>
          <w:p>
            <w:r>
              <w:rPr>
                <w:rFonts w:ascii="Calibri" w:hAnsi="Calibri"/>
                <w:sz w:val="22"/>
              </w:rPr>
              <w:t>Tracking in line</w:t>
            </w:r>
          </w:p>
        </w:tc>
      </w:tr>
      <w:tr>
        <w:tc>
          <w:tcPr>
            <w:tcW w:type="dxa" w:w="1080"/>
          </w:tcPr>
          <w:p>
            <w:r>
              <w:rPr>
                <w:rFonts w:ascii="Calibri" w:hAnsi="Calibri"/>
                <w:sz w:val="22"/>
              </w:rPr>
              <w:t>Systems Revenue — FY26</w:t>
            </w:r>
          </w:p>
        </w:tc>
        <w:tc>
          <w:tcPr>
            <w:tcW w:type="dxa" w:w="1080"/>
          </w:tcPr>
          <w:p>
            <w:r>
              <w:rPr>
                <w:rFonts w:ascii="Calibri" w:hAnsi="Calibri"/>
                <w:sz w:val="22"/>
              </w:rPr>
              <w:t>$859.1M</w:t>
            </w:r>
          </w:p>
        </w:tc>
        <w:tc>
          <w:tcPr>
            <w:tcW w:type="dxa" w:w="1080"/>
          </w:tcPr>
          <w:p>
            <w:r>
              <w:rPr>
                <w:rFonts w:ascii="Calibri" w:hAnsi="Calibri"/>
                <w:sz w:val="22"/>
              </w:rPr>
              <w:t>$860.7M</w:t>
            </w:r>
          </w:p>
        </w:tc>
        <w:tc>
          <w:tcPr>
            <w:tcW w:type="dxa" w:w="1080"/>
          </w:tcPr>
          <w:p>
            <w:r>
              <w:rPr>
                <w:rFonts w:ascii="Calibri" w:hAnsi="Calibri"/>
                <w:sz w:val="22"/>
              </w:rPr>
              <w:t>+0.2%</w:t>
            </w:r>
          </w:p>
        </w:tc>
        <w:tc>
          <w:tcPr>
            <w:tcW w:type="dxa" w:w="1080"/>
          </w:tcPr>
          <w:p>
            <w:r>
              <w:rPr>
                <w:rFonts w:ascii="Calibri" w:hAnsi="Calibri"/>
                <w:sz w:val="22"/>
              </w:rPr>
              <w:t>Double-digit growth (FY26)</w:t>
            </w:r>
          </w:p>
        </w:tc>
        <w:tc>
          <w:tcPr>
            <w:tcW w:type="dxa" w:w="1080"/>
          </w:tcPr>
          <w:p>
            <w:r>
              <w:rPr>
                <w:rFonts w:ascii="Calibri" w:hAnsi="Calibri"/>
                <w:sz w:val="22"/>
              </w:rPr>
              <w:t>Mid-single-digit sustainable growth (Analyst Day, long-term)</w:t>
            </w:r>
          </w:p>
        </w:tc>
        <w:tc>
          <w:tcPr>
            <w:tcW w:type="dxa" w:w="1080"/>
          </w:tcPr>
          <w:p>
            <w:r>
              <w:rPr>
                <w:rFonts w:ascii="Calibri" w:hAnsi="Calibri"/>
                <w:sz w:val="22"/>
              </w:rPr>
              <w:t>—</w:t>
            </w:r>
          </w:p>
        </w:tc>
        <w:tc>
          <w:tcPr>
            <w:tcW w:type="dxa" w:w="1080"/>
          </w:tcPr>
          <w:p>
            <w:r>
              <w:rPr>
                <w:rFonts w:ascii="Calibri" w:hAnsi="Calibri"/>
                <w:sz w:val="22"/>
              </w:rPr>
              <w:t>Tracking in line with FY26 guide</w:t>
            </w:r>
          </w:p>
        </w:tc>
      </w:tr>
      <w:tr>
        <w:tc>
          <w:tcPr>
            <w:tcW w:type="dxa" w:w="1080"/>
          </w:tcPr>
          <w:p>
            <w:r>
              <w:rPr>
                <w:rFonts w:ascii="Calibri" w:hAnsi="Calibri"/>
                <w:sz w:val="22"/>
              </w:rPr>
              <w:t>Software Revenue — FY26</w:t>
            </w:r>
          </w:p>
        </w:tc>
        <w:tc>
          <w:tcPr>
            <w:tcW w:type="dxa" w:w="1080"/>
          </w:tcPr>
          <w:p>
            <w:r>
              <w:rPr>
                <w:rFonts w:ascii="Calibri" w:hAnsi="Calibri"/>
                <w:sz w:val="22"/>
              </w:rPr>
              <w:t>$846.6M</w:t>
            </w:r>
          </w:p>
        </w:tc>
        <w:tc>
          <w:tcPr>
            <w:tcW w:type="dxa" w:w="1080"/>
          </w:tcPr>
          <w:p>
            <w:r>
              <w:rPr>
                <w:rFonts w:ascii="Calibri" w:hAnsi="Calibri"/>
                <w:sz w:val="22"/>
              </w:rPr>
              <w:t>$843.2M</w:t>
            </w:r>
          </w:p>
        </w:tc>
        <w:tc>
          <w:tcPr>
            <w:tcW w:type="dxa" w:w="1080"/>
          </w:tcPr>
          <w:p>
            <w:r>
              <w:rPr>
                <w:rFonts w:ascii="Calibri" w:hAnsi="Calibri"/>
                <w:sz w:val="22"/>
              </w:rPr>
              <w:t>−0.4%</w:t>
            </w:r>
          </w:p>
        </w:tc>
        <w:tc>
          <w:tcPr>
            <w:tcW w:type="dxa" w:w="1080"/>
          </w:tcPr>
          <w:p>
            <w:r>
              <w:rPr>
                <w:rFonts w:ascii="Calibri" w:hAnsi="Calibri"/>
                <w:sz w:val="22"/>
              </w:rPr>
              <w:t>Mid-single-digit growth (FY26)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in line</w:t>
            </w:r>
          </w:p>
        </w:tc>
      </w:tr>
    </w:tbl>
    <w:p>
      <w:r>
        <w:rPr>
          <w:rFonts w:ascii="Calibri" w:hAnsi="Calibri"/>
          <w:b/>
          <w:color w:val="525866"/>
          <w:sz w:val="22"/>
        </w:rPr>
        <w:t xml:space="preserve">Commentary: </w:t>
      </w:r>
      <w:r>
        <w:rPr>
          <w:rFonts w:ascii="Calibri" w:hAnsi="Calibri"/>
          <w:i/>
          <w:color w:val="525866"/>
          <w:sz w:val="22"/>
        </w:rPr>
        <w:t>Estimates have been remarkably stable since the Q2 print — Q3 revenue and EPS consensus are essentially unchanged from the post-earnings baseline, suggesting the Street has anchored to management’s guidance range rather than building in incremental upside. The more notable revision is in FY27, where both revenue (+2.0%) and EPS (+1.6%) have drifted higher since the Q2 print, likely reflecting the constructive long-term framework introduced at the May 28 Analyst Day. The absence of downward revisions despite the flagged memory cost headwind is a mild positive signal. Source: Visible Alpha consensus and actuals data; as-of date May 5, 2026 used as post-Q2 baseline.</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b/>
          <w:color w:val="525866"/>
          <w:sz w:val="22"/>
        </w:rPr>
        <w:t xml:space="preserve">FFIV has dramatically outperformed both the software sector (IGV) and the S&amp;P 500 since the April 28 earnings date, with virtually all of the +29% gain driven by </w:t>
      </w:r>
      <w:r>
        <w:rPr>
          <w:rFonts w:ascii="Calibri" w:hAnsi="Calibri"/>
          <w:b/>
          <w:color w:val="30A46C"/>
          <w:sz w:val="22"/>
        </w:rPr>
        <w:t>multiple expansion</w:t>
      </w:r>
      <w:r>
        <w:rPr>
          <w:rFonts w:ascii="Calibri" w:hAnsi="Calibri"/>
          <w:b/>
          <w:color w:val="525866"/>
          <w:sz w:val="22"/>
        </w:rPr>
        <w:t xml:space="preserve"> (NTM EV/EBITDA from ~12.2x to ~15.8x) rather than estimate revision — the stock has re-rated on the combination of raised guidance, the Analyst Day long-term framework, and AI demand enthusiasm, leaving a higher bar for the print to sustain momentum.</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FFIV vs. IGV (iShares Expanded Tech-Software ETF) vs. S&amp;P 500 — Indexed to 100 at April 28, 2026 (Last Earnings Date). IGV selected as the sector benchmark for software/infrastructure technology. FFIV +29.1% | IGV +3.5% | S&amp;P 500 +3.8% through July 24, 2026. Vertical dashed line marks May 28, 2026 Analyst &amp; Investor Day. Source: Yahoo Finance / Stock Price Data.</w:t>
      </w:r>
    </w:p>
    <w:p>
      <w:r>
        <w:rPr>
          <w:rFonts w:ascii="Calibri" w:hAnsi="Calibri"/>
          <w:b/>
          <w:color w:val="525866"/>
          <w:sz w:val="22"/>
        </w:rPr>
        <w:t xml:space="preserve">Sector ETF: </w:t>
      </w:r>
      <w:r>
        <w:rPr>
          <w:rFonts w:ascii="Calibri" w:hAnsi="Calibri"/>
          <w:color w:val="525866"/>
          <w:sz w:val="22"/>
        </w:rPr>
        <w:t>IGV (iShares Expanded Tech-Software Sector ETF) was selected as the benchmark. IGV tracks the S&amp;P North American Expanded Technology Software Index and includes application delivery, cybersecurity, and infrastructure software companies — the most relevant peer universe for FFIV’s hybrid multi-cloud and security platform business.</w:t>
      </w:r>
    </w:p>
    <w:p>
      <w:r>
        <w:rPr>
          <w:rFonts w:ascii="Calibri" w:hAnsi="Calibri"/>
          <w:b/>
          <w:color w:val="525866"/>
          <w:sz w:val="22"/>
        </w:rPr>
        <w:t xml:space="preserve">Performance Decomposition: </w:t>
      </w:r>
      <w:r>
        <w:rPr>
          <w:rFonts w:ascii="Calibri" w:hAnsi="Calibri"/>
          <w:color w:val="525866"/>
          <w:sz w:val="22"/>
        </w:rPr>
        <w:t>Over the 3-month window since the Q2 print, FFIV’s NTM EV/EBITDA expanded from ~12.2x to ~15.8x (+30%), while NTM EV/Sales expanded from ~4.6x to ~5.9x (+29%). Over the same period, consensus NTM revenue estimates moved only modestly higher, confirming that the bulk of the stock’s outperformance is attributable to sentiment and multiple re-rating rather than fundamental estimate revision. Key catalysts for the re-rating include: (1) the Q2 FY26 beat and guidance raise on April 28; (2) the May 28 Analyst Day, which introduced a multi-year growth framework and quantified the AI opportunity for the first time; and (3) broad sector tailwinds from AI infrastructure enthusiasm. The stock pulled back ~9% from its July 14 peak of ~$431 to ~$392 as of July 24, suggesting some pre-earnings profit-taking and positioning ahead of the print. Source: Stock Price Data (Yahoo Finance); Visible Alpha stock performance decomposition data.</w:t>
      </w:r>
    </w:p>
    <w:p>
      <w:r>
        <w:br w:type="page"/>
      </w:r>
    </w:p>
    <w:p>
      <w:pPr>
        <w:pStyle w:val="Heading1"/>
        <w:pBdr>
          <w:bottom w:val="single" w:sz="4" w:space="1" w:color="FB9120"/>
        </w:pBdr>
      </w:pPr>
      <w:r>
        <w:rPr>
          <w:rFonts w:ascii="Calibri" w:hAnsi="Calibri"/>
          <w:b/>
          <w:color w:val="3B4259"/>
          <w:sz w:val="40"/>
        </w:rPr>
        <w:t>6. Peer Commentary &amp; Read-Through</w:t>
      </w:r>
    </w:p>
    <w:p>
      <w:r>
        <w:rPr>
          <w:rFonts w:ascii="Calibri" w:hAnsi="Calibri"/>
          <w:b/>
          <w:color w:val="525866"/>
          <w:sz w:val="22"/>
        </w:rPr>
        <w:t xml:space="preserve">Key Takeaway: </w:t>
      </w:r>
      <w:r>
        <w:rPr>
          <w:rFonts w:ascii="Calibri" w:hAnsi="Calibri"/>
          <w:b/>
          <w:color w:val="525866"/>
          <w:sz w:val="22"/>
        </w:rPr>
        <w:t>Peer commentary from May–July 2026 is uniformly constructive for FFIV’s demand environment: CrowdStrike, Okta, Oracle, and Zscaler all point to accelerating enterprise security and AI infrastructure spending, with the “Mythos moment” (Anthropic’s frontier AI release) acting as a catalyst for incremental security budget unlocks — directly supportive of FFIV’s AI runtime security and data delivery use cases.</w:t>
      </w:r>
    </w:p>
    <w:p>
      <w:r>
        <w:rPr>
          <w:rFonts w:ascii="Calibri" w:hAnsi="Calibri"/>
          <w:i/>
          <w:color w:val="525866"/>
          <w:sz w:val="22"/>
        </w:rPr>
        <w:t xml:space="preserve">Inclusion criteria: </w:t>
      </w:r>
      <w:r>
        <w:rPr>
          <w:rFonts w:ascii="Calibri" w:hAnsi="Calibri"/>
          <w:i/>
          <w:color w:val="525866"/>
          <w:sz w:val="22"/>
        </w:rPr>
        <w:t>Only commentary from peers reporting between May 27 and July 26, 2026 is included. Each excerpt reflects the peer’s forward-looking guidance or current-quarter demand signals for their then-current/unreported period — not backward-looking commentary on already-reported results. Commentary about a peer’s own prior quarter results has been excluded. Relevance to FFIV’s specific business areas (application delivery, security, hybrid cloud, AI, data-center refresh) is stated for each.</w:t>
      </w:r>
    </w:p>
    <w:p>
      <w:pPr>
        <w:pStyle w:val="Heading2"/>
      </w:pPr>
      <w:r>
        <w:rPr>
          <w:rFonts w:ascii="Calibri" w:hAnsi="Calibri"/>
          <w:b/>
          <w:color w:val="3B4259"/>
          <w:sz w:val="28"/>
        </w:rPr>
        <w:t>CrowdStrike (CRWD) — FY2027 Q1 Earnings Call, June 3, 2026</w:t>
      </w:r>
    </w:p>
    <w:p>
      <w:r>
        <w:rPr>
          <w:rFonts w:ascii="Calibri" w:hAnsi="Calibri"/>
          <w:b/>
          <w:color w:val="525866"/>
          <w:sz w:val="22"/>
        </w:rPr>
        <w:t xml:space="preserve">Inclusion rationale: </w:t>
      </w:r>
      <w:r>
        <w:rPr>
          <w:rFonts w:ascii="Calibri" w:hAnsi="Calibri"/>
          <w:color w:val="525866"/>
          <w:sz w:val="22"/>
        </w:rPr>
        <w:t>CRWD reported FY2027 Q1 (quarter ended April 30, 2026) on June 3, 2026 and provided guidance for FY2027 Q2 (ending July 31, 2026) — a period that overlaps with FFIV’s FY2026 Q3 (ending June 30, 2026). The forward-looking demand signals and guidance for CRWD’s then-current quarter are directly relevant to FFIV’s security and AI exposure.</w:t>
      </w:r>
    </w:p>
    <w:p>
      <w:pPr>
        <w:pStyle w:val="ListBullet"/>
        <w:ind w:left="360" w:hanging="360"/>
      </w:pPr>
      <w:r>
        <w:rPr>
          <w:rFonts w:ascii="Calibri" w:hAnsi="Calibri"/>
          <w:b/>
          <w:color w:val="525866"/>
          <w:sz w:val="22"/>
        </w:rPr>
        <w:t xml:space="preserve">AI as structural security demand driver: </w:t>
      </w:r>
      <w:r>
        <w:rPr>
          <w:rFonts w:ascii="Calibri" w:hAnsi="Calibri"/>
          <w:i/>
          <w:color w:val="525866"/>
          <w:sz w:val="22"/>
        </w:rPr>
        <w:t xml:space="preserve">CEO George Kurtz stated “AI adoption is not a nice to have. It’s an existential imperative across every geography and vertical. The more AI an organization adopts, the more cybersecurity it requires” and characterized AI as “driving structural demand for cybersecurity that compounds, not decelerates.” </w:t>
      </w:r>
      <w:r>
        <w:rPr>
          <w:rFonts w:ascii="Calibri" w:hAnsi="Calibri"/>
          <w:b/>
          <w:color w:val="525866"/>
          <w:sz w:val="22"/>
        </w:rPr>
        <w:t xml:space="preserve">FFIV read-through: </w:t>
      </w:r>
      <w:r>
        <w:rPr>
          <w:rFonts w:ascii="Calibri" w:hAnsi="Calibri"/>
          <w:color w:val="525866"/>
          <w:sz w:val="22"/>
        </w:rPr>
        <w:t>Directly validates FFIV’s AI runtime security and data delivery use cases; incremental security budget unlocks benefit FFIV’s security platform.</w:t>
      </w:r>
    </w:p>
    <w:p>
      <w:pPr>
        <w:pStyle w:val="ListBullet"/>
        <w:ind w:left="360" w:hanging="360"/>
      </w:pPr>
      <w:r>
        <w:rPr>
          <w:rFonts w:ascii="Calibri" w:hAnsi="Calibri"/>
          <w:b/>
          <w:color w:val="525866"/>
          <w:sz w:val="22"/>
        </w:rPr>
        <w:t xml:space="preserve">The “Mythos moment” — AI security inflection: </w:t>
      </w:r>
      <w:r>
        <w:rPr>
          <w:rFonts w:ascii="Calibri" w:hAnsi="Calibri"/>
          <w:i/>
          <w:color w:val="525866"/>
          <w:sz w:val="22"/>
        </w:rPr>
        <w:t xml:space="preserve">CRWD described a “deluge of customer, prospect and partner inquiries” following Anthropic’s Mythos release, with every customer meeting focused on “protecting AI and providing visibility into Shadow AI.” CRWD raised its full-year FY27 net new ARR guidance by &gt;$50M and guided Q2 FY27 net new ARR of $284–$286M (+28–29% YoY). </w:t>
      </w:r>
      <w:r>
        <w:rPr>
          <w:rFonts w:ascii="Calibri" w:hAnsi="Calibri"/>
          <w:b/>
          <w:color w:val="525866"/>
          <w:sz w:val="22"/>
        </w:rPr>
        <w:t xml:space="preserve">FFIV read-through: </w:t>
      </w:r>
      <w:r>
        <w:rPr>
          <w:rFonts w:ascii="Calibri" w:hAnsi="Calibri"/>
          <w:color w:val="525866"/>
          <w:sz w:val="22"/>
        </w:rPr>
        <w:t>The Mythos-driven urgency for AI security governance is a direct tailwind for FFIV’s AI-powered WAF (200+ enterprise customers in first 70 days) and Agentic Bot Defense products.</w:t>
      </w:r>
    </w:p>
    <w:p>
      <w:pPr>
        <w:pStyle w:val="ListBullet"/>
        <w:ind w:left="360" w:hanging="360"/>
      </w:pPr>
      <w:r>
        <w:rPr>
          <w:rFonts w:ascii="Calibri" w:hAnsi="Calibri"/>
          <w:b/>
          <w:color w:val="525866"/>
          <w:sz w:val="22"/>
        </w:rPr>
        <w:t xml:space="preserve">AIDR (AI Detection and Response) as new growth pillar: </w:t>
      </w:r>
      <w:r>
        <w:rPr>
          <w:rFonts w:ascii="Calibri" w:hAnsi="Calibri"/>
          <w:i/>
          <w:color w:val="525866"/>
          <w:sz w:val="22"/>
        </w:rPr>
        <w:t xml:space="preserve">CRWD’s AIDR ending ARR grew “more than 250% sequentially” with Q2 pipeline already exceeding $50M; Kurtz believes AIDR will be “a larger opportunity than EDR.” </w:t>
      </w:r>
      <w:r>
        <w:rPr>
          <w:rFonts w:ascii="Calibri" w:hAnsi="Calibri"/>
          <w:b/>
          <w:color w:val="525866"/>
          <w:sz w:val="22"/>
        </w:rPr>
        <w:t xml:space="preserve">FFIV read-through: </w:t>
      </w:r>
      <w:r>
        <w:rPr>
          <w:rFonts w:ascii="Calibri" w:hAnsi="Calibri"/>
          <w:color w:val="525866"/>
          <w:sz w:val="22"/>
        </w:rPr>
        <w:t>Confirms the AI security market is expanding rapidly beyond traditional endpoint protection into application and API layers — FFIV’s core domain.</w:t>
      </w:r>
    </w:p>
    <w:p>
      <w:pPr>
        <w:pStyle w:val="ListBullet"/>
        <w:ind w:left="360" w:hanging="360"/>
      </w:pPr>
      <w:r>
        <w:rPr>
          <w:rFonts w:ascii="Calibri" w:hAnsi="Calibri"/>
          <w:b/>
          <w:color w:val="525866"/>
          <w:sz w:val="22"/>
        </w:rPr>
        <w:t xml:space="preserve">Data center and cloud security demand: </w:t>
      </w:r>
      <w:r>
        <w:rPr>
          <w:rFonts w:ascii="Calibri" w:hAnsi="Calibri"/>
          <w:i/>
          <w:color w:val="525866"/>
          <w:sz w:val="22"/>
        </w:rPr>
        <w:t xml:space="preserve">CRWD noted “cloud had another strong quarter as enterprises continue securing their AI infrastructure” and cited “elevated risk from new frontier models” pushing customers to harden cloud environments. </w:t>
      </w:r>
      <w:r>
        <w:rPr>
          <w:rFonts w:ascii="Calibri" w:hAnsi="Calibri"/>
          <w:b/>
          <w:color w:val="525866"/>
          <w:sz w:val="22"/>
        </w:rPr>
        <w:t xml:space="preserve">FFIV read-through: </w:t>
      </w:r>
      <w:r>
        <w:rPr>
          <w:rFonts w:ascii="Calibri" w:hAnsi="Calibri"/>
          <w:color w:val="525866"/>
          <w:sz w:val="22"/>
        </w:rPr>
        <w:t>Supportive of FFIV’s hybrid multi-cloud security and data delivery positioning; AI infrastructure build-out drives demand for F5’s load balancing and security solutions.</w:t>
      </w:r>
    </w:p>
    <w:p>
      <w:pPr>
        <w:pStyle w:val="Heading2"/>
      </w:pPr>
      <w:r>
        <w:rPr>
          <w:rFonts w:ascii="Calibri" w:hAnsi="Calibri"/>
          <w:b/>
          <w:color w:val="3B4259"/>
          <w:sz w:val="28"/>
        </w:rPr>
        <w:t>Okta (OKTA) — FY2027 Q1 Earnings Call, May 28, 2026</w:t>
      </w:r>
    </w:p>
    <w:p>
      <w:r>
        <w:rPr>
          <w:rFonts w:ascii="Calibri" w:hAnsi="Calibri"/>
          <w:b/>
          <w:color w:val="525866"/>
          <w:sz w:val="22"/>
        </w:rPr>
        <w:t xml:space="preserve">Inclusion rationale: </w:t>
      </w:r>
      <w:r>
        <w:rPr>
          <w:rFonts w:ascii="Calibri" w:hAnsi="Calibri"/>
          <w:color w:val="525866"/>
          <w:sz w:val="22"/>
        </w:rPr>
        <w:t>OKTA reported FY2027 Q1 (quarter ended April 30, 2026) on May 28, 2026 and provided guidance for FY2027 Q2 (ending July 31, 2026) and full-year FY27. The forward-looking demand signals for the then-current quarter are relevant to FFIV’s security and AI exposure.</w:t>
      </w:r>
    </w:p>
    <w:p>
      <w:pPr>
        <w:pStyle w:val="ListBullet"/>
        <w:ind w:left="360" w:hanging="360"/>
      </w:pPr>
      <w:r>
        <w:rPr>
          <w:rFonts w:ascii="Calibri" w:hAnsi="Calibri"/>
          <w:b/>
          <w:color w:val="525866"/>
          <w:sz w:val="22"/>
        </w:rPr>
        <w:t xml:space="preserve">Agentic AI driving identity and security urgency: </w:t>
      </w:r>
      <w:r>
        <w:rPr>
          <w:rFonts w:ascii="Calibri" w:hAnsi="Calibri"/>
          <w:i/>
          <w:color w:val="525866"/>
          <w:sz w:val="22"/>
        </w:rPr>
        <w:t xml:space="preserve">CEO Todd McKinnon stated “Boards and CEOs are saying, we know this agentic thing is real. We’ve got to put the guardrails in place for that, and we know that security is real, and we’re going to spend money on that.” He described “record interest and record pipeline” for AI agent identity products, with average deal sizes for AI-specific deals “significantly larger than the average deal size for the rest of the company.” </w:t>
      </w:r>
      <w:r>
        <w:rPr>
          <w:rFonts w:ascii="Calibri" w:hAnsi="Calibri"/>
          <w:b/>
          <w:color w:val="525866"/>
          <w:sz w:val="22"/>
        </w:rPr>
        <w:t xml:space="preserve">FFIV read-through: </w:t>
      </w:r>
      <w:r>
        <w:rPr>
          <w:rFonts w:ascii="Calibri" w:hAnsi="Calibri"/>
          <w:color w:val="525866"/>
          <w:sz w:val="22"/>
        </w:rPr>
        <w:t>Board-level urgency for AI governance and security spending is a direct tailwind for FFIV’s AI runtime security and API security products; larger deal sizes suggest enterprise willingness to pay for comprehensive AI security platforms.</w:t>
      </w:r>
    </w:p>
    <w:p>
      <w:pPr>
        <w:pStyle w:val="ListBullet"/>
        <w:ind w:left="360" w:hanging="360"/>
      </w:pPr>
      <w:r>
        <w:rPr>
          <w:rFonts w:ascii="Calibri" w:hAnsi="Calibri"/>
          <w:b/>
          <w:color w:val="525866"/>
          <w:sz w:val="22"/>
        </w:rPr>
        <w:t xml:space="preserve">Large enterprise strength and platform consolidation: </w:t>
      </w:r>
      <w:r>
        <w:rPr>
          <w:rFonts w:ascii="Calibri" w:hAnsi="Calibri"/>
          <w:i/>
          <w:color w:val="525866"/>
          <w:sz w:val="22"/>
        </w:rPr>
        <w:t xml:space="preserve">OKTA guided Q2 FY27 cRPO growth of 11% YoY and total revenue growth of 9%; CFO Brett Tighe noted “continued strength with large enterprises and increased sales productivity.” Large customers represent 85% of ACV. </w:t>
      </w:r>
      <w:r>
        <w:rPr>
          <w:rFonts w:ascii="Calibri" w:hAnsi="Calibri"/>
          <w:b/>
          <w:color w:val="525866"/>
          <w:sz w:val="22"/>
        </w:rPr>
        <w:t xml:space="preserve">FFIV read-through: </w:t>
      </w:r>
      <w:r>
        <w:rPr>
          <w:rFonts w:ascii="Calibri" w:hAnsi="Calibri"/>
          <w:color w:val="525866"/>
          <w:sz w:val="22"/>
        </w:rPr>
        <w:t>Large enterprise IT spending remains healthy, supporting FFIV’s enterprise application delivery and security platform sales cycles.</w:t>
      </w:r>
    </w:p>
    <w:p>
      <w:pPr>
        <w:pStyle w:val="ListBullet"/>
        <w:ind w:left="360" w:hanging="360"/>
      </w:pPr>
      <w:r>
        <w:rPr>
          <w:rFonts w:ascii="Calibri" w:hAnsi="Calibri"/>
          <w:b/>
          <w:color w:val="525866"/>
          <w:sz w:val="22"/>
        </w:rPr>
        <w:t xml:space="preserve">Identity as critical infrastructure — durable spending: </w:t>
      </w:r>
      <w:r>
        <w:rPr>
          <w:rFonts w:ascii="Calibri" w:hAnsi="Calibri"/>
          <w:i/>
          <w:color w:val="525866"/>
          <w:sz w:val="22"/>
        </w:rPr>
        <w:t xml:space="preserve">McKinnon described identity as “critical infrastructure” that is “sticky” once implemented, with “performance in the business very, very durable.” </w:t>
      </w:r>
      <w:r>
        <w:rPr>
          <w:rFonts w:ascii="Calibri" w:hAnsi="Calibri"/>
          <w:b/>
          <w:color w:val="525866"/>
          <w:sz w:val="22"/>
        </w:rPr>
        <w:t xml:space="preserve">FFIV read-through: </w:t>
      </w:r>
      <w:r>
        <w:rPr>
          <w:rFonts w:ascii="Calibri" w:hAnsi="Calibri"/>
          <w:color w:val="525866"/>
          <w:sz w:val="22"/>
        </w:rPr>
        <w:t>Reinforces the durability of enterprise security spending broadly; FFIV’s application delivery and security solutions occupy a similarly critical infrastructure role.</w:t>
      </w:r>
    </w:p>
    <w:p>
      <w:pPr>
        <w:pStyle w:val="Heading2"/>
      </w:pPr>
      <w:r>
        <w:rPr>
          <w:rFonts w:ascii="Calibri" w:hAnsi="Calibri"/>
          <w:b/>
          <w:color w:val="3B4259"/>
          <w:sz w:val="28"/>
        </w:rPr>
        <w:t>Oracle (ORCL) — FY2026 Q4 Earnings Call, June 10, 2026</w:t>
      </w:r>
    </w:p>
    <w:p>
      <w:r>
        <w:rPr>
          <w:rFonts w:ascii="Calibri" w:hAnsi="Calibri"/>
          <w:b/>
          <w:color w:val="525866"/>
          <w:sz w:val="22"/>
        </w:rPr>
        <w:t xml:space="preserve">Inclusion rationale: </w:t>
      </w:r>
      <w:r>
        <w:rPr>
          <w:rFonts w:ascii="Calibri" w:hAnsi="Calibri"/>
          <w:color w:val="525866"/>
          <w:sz w:val="22"/>
        </w:rPr>
        <w:t>ORCL reported FY2026 Q4 (quarter ended May 31, 2026) on June 10, 2026 and provided guidance for FY2027 Q1 (beginning June 1, 2026) and full-year FY27. The forward-looking demand signals for the then-current period are relevant to FFIV’s AI infrastructure and data-center refresh exposure.</w:t>
      </w:r>
    </w:p>
    <w:p>
      <w:pPr>
        <w:pStyle w:val="ListBullet"/>
        <w:ind w:left="360" w:hanging="360"/>
      </w:pPr>
      <w:r>
        <w:rPr>
          <w:rFonts w:ascii="Calibri" w:hAnsi="Calibri"/>
          <w:b/>
          <w:color w:val="525866"/>
          <w:sz w:val="22"/>
        </w:rPr>
        <w:t xml:space="preserve">Unprecedented AI infrastructure demand: </w:t>
      </w:r>
      <w:r>
        <w:rPr>
          <w:rFonts w:ascii="Calibri" w:hAnsi="Calibri"/>
          <w:i/>
          <w:color w:val="525866"/>
          <w:sz w:val="22"/>
        </w:rPr>
        <w:t xml:space="preserve">Oracle signed “$67 billion in AI infrastructure contracts this quarter,” bringing total prepaid/BYOH AI contracts to $75B. RPO reached $638B (+363% YoY). Management stated “AI infrastructure makes the existing cloud infrastructure market look small” with market size estimated at “trillions of dollars per year.” GPU utilization rate is 97.5%. </w:t>
      </w:r>
      <w:r>
        <w:rPr>
          <w:rFonts w:ascii="Calibri" w:hAnsi="Calibri"/>
          <w:b/>
          <w:color w:val="525866"/>
          <w:sz w:val="22"/>
        </w:rPr>
        <w:t xml:space="preserve">FFIV read-through: </w:t>
      </w:r>
      <w:r>
        <w:rPr>
          <w:rFonts w:ascii="Calibri" w:hAnsi="Calibri"/>
          <w:color w:val="525866"/>
          <w:sz w:val="22"/>
        </w:rPr>
        <w:t>Massive AI infrastructure build-out directly drives demand for FFIV’s AI factory load balancing and data delivery solutions; high GPU utilization creates urgency for efficient inference infrastructure where F5 has demonstrated 40% throughput improvement.</w:t>
      </w:r>
    </w:p>
    <w:p>
      <w:pPr>
        <w:pStyle w:val="ListBullet"/>
        <w:ind w:left="360" w:hanging="360"/>
      </w:pPr>
      <w:r>
        <w:rPr>
          <w:rFonts w:ascii="Calibri" w:hAnsi="Calibri"/>
          <w:b/>
          <w:color w:val="525866"/>
          <w:sz w:val="22"/>
        </w:rPr>
        <w:t xml:space="preserve">Data center capacity acceleration: </w:t>
      </w:r>
      <w:r>
        <w:rPr>
          <w:rFonts w:ascii="Calibri" w:hAnsi="Calibri"/>
          <w:i/>
          <w:color w:val="525866"/>
          <w:sz w:val="22"/>
        </w:rPr>
        <w:t xml:space="preserve">ORCL guided FY27 capex of ~$70B and noted “FY27 Q1 delivery approaching one gigawatt, nearly the same capacity as we’ve delivered in the previous four quarters combined.” Revenue and earnings expected to “accelerate in the second half of the year as we bring further megawatts online.” </w:t>
      </w:r>
      <w:r>
        <w:rPr>
          <w:rFonts w:ascii="Calibri" w:hAnsi="Calibri"/>
          <w:b/>
          <w:color w:val="525866"/>
          <w:sz w:val="22"/>
        </w:rPr>
        <w:t xml:space="preserve">FFIV read-through: </w:t>
      </w:r>
      <w:r>
        <w:rPr>
          <w:rFonts w:ascii="Calibri" w:hAnsi="Calibri"/>
          <w:color w:val="525866"/>
          <w:sz w:val="22"/>
        </w:rPr>
        <w:t>Accelerating data center build-out is a direct tailwind for FFIV’s hardware refresh cycle and systems revenue; new data centers require application delivery controllers, load balancers, and security solutions.</w:t>
      </w:r>
    </w:p>
    <w:p>
      <w:pPr>
        <w:pStyle w:val="ListBullet"/>
        <w:ind w:left="360" w:hanging="360"/>
      </w:pPr>
      <w:r>
        <w:rPr>
          <w:rFonts w:ascii="Calibri" w:hAnsi="Calibri"/>
          <w:b/>
          <w:color w:val="525866"/>
          <w:sz w:val="22"/>
        </w:rPr>
        <w:t xml:space="preserve">Multi-cloud database growth: </w:t>
      </w:r>
      <w:r>
        <w:rPr>
          <w:rFonts w:ascii="Calibri" w:hAnsi="Calibri"/>
          <w:i/>
          <w:color w:val="525866"/>
          <w:sz w:val="22"/>
        </w:rPr>
        <w:t xml:space="preserve">Oracle Multicloud AI Database grew 404% in Q4, described as “our fastest growing business ever.” ORCL guided FY27 total revenue growth of +34% in constant currency and Q1 FY27 cloud revenue growth of 58–64%. </w:t>
      </w:r>
      <w:r>
        <w:rPr>
          <w:rFonts w:ascii="Calibri" w:hAnsi="Calibri"/>
          <w:b/>
          <w:color w:val="525866"/>
          <w:sz w:val="22"/>
        </w:rPr>
        <w:t xml:space="preserve">FFIV read-through: </w:t>
      </w:r>
      <w:r>
        <w:rPr>
          <w:rFonts w:ascii="Calibri" w:hAnsi="Calibri"/>
          <w:color w:val="525866"/>
          <w:sz w:val="22"/>
        </w:rPr>
        <w:t>Accelerating multi-cloud adoption validates FFIV’s hybrid multi-cloud positioning; enterprises deploying across multiple cloud environments require consistent application delivery and security — FFIV’s core value proposition.</w:t>
      </w:r>
    </w:p>
    <w:p>
      <w:pPr>
        <w:pStyle w:val="Heading2"/>
      </w:pPr>
      <w:r>
        <w:rPr>
          <w:rFonts w:ascii="Calibri" w:hAnsi="Calibri"/>
          <w:b/>
          <w:color w:val="3B4259"/>
          <w:sz w:val="28"/>
        </w:rPr>
        <w:t>Zscaler (ZS) — Zenith Live Investor Session, June 9, 2026</w:t>
      </w:r>
    </w:p>
    <w:p>
      <w:r>
        <w:rPr>
          <w:rFonts w:ascii="Calibri" w:hAnsi="Calibri"/>
          <w:b/>
          <w:color w:val="525866"/>
          <w:sz w:val="22"/>
        </w:rPr>
        <w:t xml:space="preserve">Inclusion rationale: </w:t>
      </w:r>
      <w:r>
        <w:rPr>
          <w:rFonts w:ascii="Calibri" w:hAnsi="Calibri"/>
          <w:color w:val="525866"/>
          <w:sz w:val="22"/>
        </w:rPr>
        <w:t>ZS held its Zenith Live investor event on June 9, 2026, during FFIV’s FY2026 Q3 (May–July 2026). Management provided current-quarter demand signals and forward-looking commentary on AI security and Zero Trust adoption — directly relevant to FFIV’s security and hybrid cloud exposure. Note: this is a non-earnings event; commentary reflects current demand conditions, not prior-quarter results.</w:t>
      </w:r>
    </w:p>
    <w:p>
      <w:pPr>
        <w:pStyle w:val="ListBullet"/>
        <w:ind w:left="360" w:hanging="360"/>
      </w:pPr>
      <w:r>
        <w:rPr>
          <w:rFonts w:ascii="Calibri" w:hAnsi="Calibri"/>
          <w:b/>
          <w:color w:val="525866"/>
          <w:sz w:val="22"/>
        </w:rPr>
        <w:t xml:space="preserve">Mythos-driven security urgency — board-level escalation: </w:t>
      </w:r>
      <w:r>
        <w:rPr>
          <w:rFonts w:ascii="Calibri" w:hAnsi="Calibri"/>
          <w:i/>
          <w:color w:val="525866"/>
          <w:sz w:val="22"/>
        </w:rPr>
        <w:t xml:space="preserve">CEO Jagtar Chaudhry stated “the urgency for Mythos is actually higher in many ways” than COVID, with CIOs and CISOs reporting to boards “every week or every 2 weeks” on AI security progress. ZS’s AI Protect solution “crossed $100 million over the last 12 months.” </w:t>
      </w:r>
      <w:r>
        <w:rPr>
          <w:rFonts w:ascii="Calibri" w:hAnsi="Calibri"/>
          <w:b/>
          <w:color w:val="525866"/>
          <w:sz w:val="22"/>
        </w:rPr>
        <w:t xml:space="preserve">FFIV read-through: </w:t>
      </w:r>
      <w:r>
        <w:rPr>
          <w:rFonts w:ascii="Calibri" w:hAnsi="Calibri"/>
          <w:color w:val="525866"/>
          <w:sz w:val="22"/>
        </w:rPr>
        <w:t>Board-level AI security urgency is a direct demand catalyst for FFIV’s AI-powered WAF, Agentic Bot Defense, and AI Guardrails products; the pace of enterprise AI security adoption is accelerating faster than many expected.</w:t>
      </w:r>
    </w:p>
    <w:p>
      <w:pPr>
        <w:pStyle w:val="ListBullet"/>
        <w:ind w:left="360" w:hanging="360"/>
      </w:pPr>
      <w:r>
        <w:rPr>
          <w:rFonts w:ascii="Calibri" w:hAnsi="Calibri"/>
          <w:b/>
          <w:color w:val="525866"/>
          <w:sz w:val="22"/>
        </w:rPr>
        <w:t xml:space="preserve">Zero Trust adoption acceleration: </w:t>
      </w:r>
      <w:r>
        <w:rPr>
          <w:rFonts w:ascii="Calibri" w:hAnsi="Calibri"/>
          <w:i/>
          <w:color w:val="525866"/>
          <w:sz w:val="22"/>
        </w:rPr>
        <w:t xml:space="preserve">ZS noted “a lot of interest for people who have bought ZIA, but haven’t bought ZPA” and “clearly see interest in moving more towards Zero Trust with Mythos than it was before Mythos.” Data security ARR exceeded $500M with &gt;30% YoY growth. </w:t>
      </w:r>
      <w:r>
        <w:rPr>
          <w:rFonts w:ascii="Calibri" w:hAnsi="Calibri"/>
          <w:b/>
          <w:color w:val="525866"/>
          <w:sz w:val="22"/>
        </w:rPr>
        <w:t xml:space="preserve">FFIV read-through: </w:t>
      </w:r>
      <w:r>
        <w:rPr>
          <w:rFonts w:ascii="Calibri" w:hAnsi="Calibri"/>
          <w:color w:val="525866"/>
          <w:sz w:val="22"/>
        </w:rPr>
        <w:t>Accelerating Zero Trust adoption is a mixed signal for FFIV — it validates the security spending environment but also represents a competitive dynamic as enterprises shift toward cloud-native security architectures; FFIV’s software and distributed cloud offerings are positioned to capture this shift.</w:t>
      </w:r>
    </w:p>
    <w:p>
      <w:pPr>
        <w:pStyle w:val="ListBullet"/>
        <w:ind w:left="360" w:hanging="360"/>
      </w:pPr>
      <w:r>
        <w:rPr>
          <w:rFonts w:ascii="Calibri" w:hAnsi="Calibri"/>
          <w:b/>
          <w:color w:val="525866"/>
          <w:sz w:val="22"/>
        </w:rPr>
        <w:t xml:space="preserve">AI workload growth driving cloud security demand: </w:t>
      </w:r>
      <w:r>
        <w:rPr>
          <w:rFonts w:ascii="Calibri" w:hAnsi="Calibri"/>
          <w:i/>
          <w:color w:val="525866"/>
          <w:sz w:val="22"/>
        </w:rPr>
        <w:t xml:space="preserve">ZS stated “amount of workloads in the cloud will keep on growing. And AI will further accelerate the development of these workloads.” TAM estimated at &gt;$120B. </w:t>
      </w:r>
      <w:r>
        <w:rPr>
          <w:rFonts w:ascii="Calibri" w:hAnsi="Calibri"/>
          <w:b/>
          <w:color w:val="525866"/>
          <w:sz w:val="22"/>
        </w:rPr>
        <w:t xml:space="preserve">FFIV read-through: </w:t>
      </w:r>
      <w:r>
        <w:rPr>
          <w:rFonts w:ascii="Calibri" w:hAnsi="Calibri"/>
          <w:color w:val="525866"/>
          <w:sz w:val="22"/>
        </w:rPr>
        <w:t>Growing cloud workloads require application delivery and security solutions that span hybrid environments — directly supportive of FFIV’s distributed cloud and software subscription growth thesis.</w:t>
      </w:r>
    </w:p>
    <w:p>
      <w:r>
        <w:rPr>
          <w:rFonts w:ascii="Calibri" w:hAnsi="Calibri"/>
          <w:i/>
          <w:color w:val="525866"/>
          <w:sz w:val="22"/>
        </w:rPr>
        <w:t>Sources: CrowdStrike FY2027 Q1 Earnings Call transcript and Earnings Release (June 3, 2026); Okta FY2027 Q1 Earnings Call transcript and Earnings Release (May 28, 2026); Oracle FY2026 Q4 Earnings Call transcript and Earnings Release (June 10, 2026); Zscaler Zenith Live Investor Session transcript (June 9, 2026).</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b/>
          <w:color w:val="525866"/>
          <w:sz w:val="22"/>
        </w:rPr>
        <w:t>The most important development since the Q2 print is the May 28 Analyst &amp; Investor Day, which introduced a multi-year financial framework and quantified the AI opportunity for the first time — this was the primary catalyst for the stock’s re-rating and sets a higher bar for the Q3 print to sustain momentum; the June board appointment is a minor governance development with no financial implications.</w:t>
      </w:r>
    </w:p>
    <w:p>
      <w:pPr>
        <w:pStyle w:val="ListBullet"/>
        <w:ind w:left="360" w:hanging="360"/>
      </w:pPr>
      <w:r>
        <w:rPr>
          <w:rFonts w:ascii="Calibri" w:hAnsi="Calibri"/>
          <w:b/>
          <w:color w:val="525866"/>
          <w:sz w:val="22"/>
        </w:rPr>
        <w:t xml:space="preserve">May 28, 2026 — Analyst &amp; Investor Day (most material): </w:t>
      </w:r>
      <w:r>
        <w:rPr>
          <w:rFonts w:ascii="Calibri" w:hAnsi="Calibri"/>
          <w:color w:val="525866"/>
          <w:sz w:val="22"/>
        </w:rPr>
        <w:t xml:space="preserve">F5 hosted its first Analyst &amp; Investor Day in several years, introducing a multi-year financial framework: upper-single-digit revenue growth through FY29 (with aspiration for double-digit beyond), product revenue growing double digits throughout, gross margins recovering to historical levels by FY29 after a FY27 trough, and operating margins reaching mid-to-upper 30s by FY29. Management quantified the AI opportunity for the first time — ~15,000 customers representing &gt;$1.3B opportunity from CY27–CY30, data sovereignty opportunity of &gt;$700M, and competitive displacement opportunity of ~$600M. TAM estimated at $15B today, growing to $40B by 2030 including AI demand. </w:t>
      </w:r>
      <w:r>
        <w:rPr>
          <w:rFonts w:ascii="Calibri" w:hAnsi="Calibri"/>
          <w:b/>
          <w:color w:val="525866"/>
          <w:sz w:val="22"/>
        </w:rPr>
        <w:t xml:space="preserve">Implication: </w:t>
      </w:r>
      <w:r>
        <w:rPr>
          <w:rFonts w:ascii="Calibri" w:hAnsi="Calibri"/>
          <w:color w:val="525866"/>
          <w:sz w:val="22"/>
        </w:rPr>
        <w:t>This was the primary catalyst for the stock’s re-rating; the Q3 print will be the first test of whether the framework is tracking.</w:t>
      </w:r>
    </w:p>
    <w:p>
      <w:pPr>
        <w:pStyle w:val="ListBullet"/>
        <w:ind w:left="360" w:hanging="360"/>
      </w:pPr>
      <w:r>
        <w:rPr>
          <w:rFonts w:ascii="Calibri" w:hAnsi="Calibri"/>
          <w:b/>
          <w:color w:val="525866"/>
          <w:sz w:val="22"/>
        </w:rPr>
        <w:t xml:space="preserve">April 28, 2026 — Q2 FY26 Earnings Beat &amp; Guidance Raise: </w:t>
      </w:r>
      <w:r>
        <w:rPr>
          <w:rFonts w:ascii="Calibri" w:hAnsi="Calibri"/>
          <w:color w:val="525866"/>
          <w:sz w:val="22"/>
        </w:rPr>
        <w:t xml:space="preserve">Revenue of $811.7M (+11% YoY) beat consensus; non-GAAP EPS of $3.90 beat the high end of guidance. FY26 revenue growth guidance raised to 7–8% from 5–6%; FY26 non-GAAP EPS guidance raised to $16.25–$16.55 from $15.65–$16.05. First-ever quantified AI metrics: ~$50M in H1 FY26 AI-related sales (+200% YoY), approaching 100 AI customers. </w:t>
      </w:r>
      <w:r>
        <w:rPr>
          <w:rFonts w:ascii="Calibri" w:hAnsi="Calibri"/>
          <w:b/>
          <w:color w:val="525866"/>
          <w:sz w:val="22"/>
        </w:rPr>
        <w:t xml:space="preserve">Implication: </w:t>
      </w:r>
      <w:r>
        <w:rPr>
          <w:rFonts w:ascii="Calibri" w:hAnsi="Calibri"/>
          <w:color w:val="525866"/>
          <w:sz w:val="22"/>
        </w:rPr>
        <w:t>Established the baseline for Q3 expectations; the AI metrics disclosure was a significant positive surprise that drove initial re-rating.</w:t>
      </w:r>
    </w:p>
    <w:p>
      <w:pPr>
        <w:pStyle w:val="ListBullet"/>
        <w:ind w:left="360" w:hanging="360"/>
      </w:pPr>
      <w:r>
        <w:rPr>
          <w:rFonts w:ascii="Calibri" w:hAnsi="Calibri"/>
          <w:b/>
          <w:color w:val="525866"/>
          <w:sz w:val="22"/>
        </w:rPr>
        <w:t xml:space="preserve">April 28, 2026 — Memory/Component Cost Warning: </w:t>
      </w:r>
      <w:r>
        <w:rPr>
          <w:rFonts w:ascii="Calibri" w:hAnsi="Calibri"/>
          <w:color w:val="525866"/>
          <w:sz w:val="22"/>
        </w:rPr>
        <w:t xml:space="preserve">Management flagged that rising memory and SSD prices will cause gross margin to “step down sequentially from Q3 into Q4,” with costs at full run rate in Q4 and elevated memory prices expected to persist “through the better part of FY27.” Company is making selective price adjustments and exercising discount discipline to partially offset. </w:t>
      </w:r>
      <w:r>
        <w:rPr>
          <w:rFonts w:ascii="Calibri" w:hAnsi="Calibri"/>
          <w:b/>
          <w:color w:val="525866"/>
          <w:sz w:val="22"/>
        </w:rPr>
        <w:t xml:space="preserve">Implication: </w:t>
      </w:r>
      <w:r>
        <w:rPr>
          <w:rFonts w:ascii="Calibri" w:hAnsi="Calibri"/>
          <w:color w:val="525866"/>
          <w:sz w:val="22"/>
        </w:rPr>
        <w:t>The primary gross margin risk heading into Q3; any indication the step-down is larger than guided or that FY27 recovery is pushed out could weigh on the stock.</w:t>
      </w:r>
    </w:p>
    <w:p>
      <w:pPr>
        <w:pStyle w:val="ListBullet"/>
        <w:ind w:left="360" w:hanging="360"/>
      </w:pPr>
      <w:r>
        <w:rPr>
          <w:rFonts w:ascii="Calibri" w:hAnsi="Calibri"/>
          <w:b/>
          <w:color w:val="525866"/>
          <w:sz w:val="22"/>
        </w:rPr>
        <w:t xml:space="preserve">June 23, 2026 — Board Appointment (Gavin Munroe): </w:t>
      </w:r>
      <w:r>
        <w:rPr>
          <w:rFonts w:ascii="Calibri" w:hAnsi="Calibri"/>
          <w:color w:val="525866"/>
          <w:sz w:val="22"/>
        </w:rPr>
        <w:t xml:space="preserve">F5 appointed Gavin Munroe to its Board of Directors, effective June 17, 2026. Munroe will serve on both the Risk and Audit Committees. Annual retainer of $60K plus $20K for each committee membership; RSU grant of $275K effective July 1, 2026 under the 2026 Incentive Award Plan. Source: Form 8-K filed June 23, 2026. </w:t>
      </w:r>
      <w:r>
        <w:rPr>
          <w:rFonts w:ascii="Calibri" w:hAnsi="Calibri"/>
          <w:b/>
          <w:color w:val="525866"/>
          <w:sz w:val="22"/>
        </w:rPr>
        <w:t xml:space="preserve">Implication: </w:t>
      </w:r>
      <w:r>
        <w:rPr>
          <w:rFonts w:ascii="Calibri" w:hAnsi="Calibri"/>
          <w:color w:val="525866"/>
          <w:sz w:val="22"/>
        </w:rPr>
        <w:t>Routine governance development; no financial implications for the Q3 print.</w:t>
      </w:r>
    </w:p>
    <w:p>
      <w:pPr>
        <w:pStyle w:val="ListBullet"/>
        <w:ind w:left="360" w:hanging="360"/>
      </w:pPr>
      <w:r>
        <w:rPr>
          <w:rFonts w:ascii="Calibri" w:hAnsi="Calibri"/>
          <w:b/>
          <w:color w:val="525866"/>
          <w:sz w:val="22"/>
        </w:rPr>
        <w:t xml:space="preserve">March 13, 2026 — Shareholder Approval of New Incentive Plan: </w:t>
      </w:r>
      <w:r>
        <w:rPr>
          <w:rFonts w:ascii="Calibri" w:hAnsi="Calibri"/>
          <w:color w:val="525866"/>
          <w:sz w:val="22"/>
        </w:rPr>
        <w:t xml:space="preserve">F5 shareholders approved the 2026 Incentive Award Plan, authorizing 3.5 million new shares. Source: Form 8-K filed March 13, 2026. </w:t>
      </w:r>
      <w:r>
        <w:rPr>
          <w:rFonts w:ascii="Calibri" w:hAnsi="Calibri"/>
          <w:b/>
          <w:color w:val="525866"/>
          <w:sz w:val="22"/>
        </w:rPr>
        <w:t xml:space="preserve">Implication: </w:t>
      </w:r>
      <w:r>
        <w:rPr>
          <w:rFonts w:ascii="Calibri" w:hAnsi="Calibri"/>
          <w:color w:val="525866"/>
          <w:sz w:val="22"/>
        </w:rPr>
        <w:t>Modest dilution potential; consistent with historical equity compensation practices.</w:t>
      </w:r>
    </w:p>
    <w:p>
      <w:pPr>
        <w:pStyle w:val="ListBullet"/>
        <w:ind w:left="360" w:hanging="360"/>
      </w:pPr>
      <w:r>
        <w:rPr>
          <w:rFonts w:ascii="Calibri" w:hAnsi="Calibri"/>
          <w:b/>
          <w:color w:val="525866"/>
          <w:sz w:val="22"/>
        </w:rPr>
        <w:t xml:space="preserve">Ongoing — AI Demand Signals from Peers (May–July 2026): </w:t>
      </w:r>
      <w:r>
        <w:rPr>
          <w:rFonts w:ascii="Calibri" w:hAnsi="Calibri"/>
          <w:color w:val="525866"/>
          <w:sz w:val="22"/>
        </w:rPr>
        <w:t xml:space="preserve">CrowdStrike, Okta, Oracle, and Zscaler all reported accelerating AI security and infrastructure demand during FFIV’s Q3 period (see Section 6). The “Mythos moment” in April/May 2026 appears to have catalyzed a step-change in enterprise AI security urgency. </w:t>
      </w:r>
      <w:r>
        <w:rPr>
          <w:rFonts w:ascii="Calibri" w:hAnsi="Calibri"/>
          <w:b/>
          <w:color w:val="525866"/>
          <w:sz w:val="22"/>
        </w:rPr>
        <w:t xml:space="preserve">Implication: </w:t>
      </w:r>
      <w:r>
        <w:rPr>
          <w:rFonts w:ascii="Calibri" w:hAnsi="Calibri"/>
          <w:color w:val="525866"/>
          <w:sz w:val="22"/>
        </w:rPr>
        <w:t>Broadly supportive of FFIV’s AI runtime security and data delivery pipeline; management’s Q3 guidance was set before the full Mythos impact was visible, suggesting potential upside to AI-related revenue.</w:t>
      </w:r>
    </w:p>
    <w:p>
      <w:pPr>
        <w:pStyle w:val="ListBullet"/>
        <w:ind w:left="360" w:hanging="360"/>
      </w:pPr>
      <w:r>
        <w:rPr>
          <w:rFonts w:ascii="Calibri" w:hAnsi="Calibri"/>
          <w:b/>
          <w:color w:val="525866"/>
          <w:sz w:val="22"/>
        </w:rPr>
        <w:t xml:space="preserve">Ongoing — Analyst Rating/PT Activity: </w:t>
      </w:r>
      <w:r>
        <w:rPr>
          <w:rFonts w:ascii="Calibri" w:hAnsi="Calibri"/>
          <w:color w:val="525866"/>
          <w:sz w:val="22"/>
        </w:rPr>
        <w:t xml:space="preserve">The stock’s ~29% rally since April 28 has been accompanied by broad analyst constructiveness following the Analyst Day; no specific downgrades or material PT cuts have been identified in the research context. The stock’s pullback from its July 14 peak (~$431) to ~$392 as of July 24 may reflect pre-earnings positioning rather than fundamental concern. </w:t>
      </w:r>
      <w:r>
        <w:rPr>
          <w:rFonts w:ascii="Calibri" w:hAnsi="Calibri"/>
          <w:b/>
          <w:color w:val="525866"/>
          <w:sz w:val="22"/>
        </w:rPr>
        <w:t xml:space="preserve">Implication: </w:t>
      </w:r>
      <w:r>
        <w:rPr>
          <w:rFonts w:ascii="Calibri" w:hAnsi="Calibri"/>
          <w:color w:val="525866"/>
          <w:sz w:val="22"/>
        </w:rPr>
        <w:t>Sentiment remains positive but the stock is no longer cheap on a historical multiple basis, raising the bar for a sustained post-earnings rally.</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b/>
          <w:color w:val="525866"/>
          <w:sz w:val="22"/>
        </w:rPr>
        <w:t>All insider transactions since the Q2 print are sales, and virtually all are under pre-established 10b5-1 plans — the one exception is a discretionary open-market sale by Director Elizabeth Buse on June 10, which is notable but modest in size; the absence of any open-market purchases and the cluster of 10b5-1 sales immediately following the Q2 earnings beat are consistent with normal post-earnings plan execution and do not constitute a bearish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 (Effective)</w:t>
            </w:r>
          </w:p>
        </w:tc>
        <w:tc>
          <w:tcPr>
            <w:tcW w:type="dxa" w:w="1234"/>
            <w:shd w:val="clear" w:color="auto" w:fill="3B4259"/>
          </w:tcPr>
          <w:p>
            <w:r>
              <w:rPr>
                <w:rFonts w:ascii="Calibri" w:hAnsi="Calibri"/>
                <w:b/>
                <w:color w:val="FFFFFF"/>
                <w:sz w:val="22"/>
              </w:rPr>
              <w:t>Disclosure Date (Form 4 Filed)</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Elizabeth Buse</w:t>
            </w:r>
          </w:p>
        </w:tc>
        <w:tc>
          <w:tcPr>
            <w:tcW w:type="dxa" w:w="1234"/>
          </w:tcPr>
          <w:p>
            <w:r>
              <w:rPr>
                <w:rFonts w:ascii="Calibri" w:hAnsi="Calibri"/>
                <w:sz w:val="22"/>
              </w:rPr>
              <w:t>Director</w:t>
            </w:r>
          </w:p>
        </w:tc>
        <w:tc>
          <w:tcPr>
            <w:tcW w:type="dxa" w:w="1234"/>
          </w:tcPr>
          <w:p>
            <w:r>
              <w:rPr>
                <w:rFonts w:ascii="Calibri" w:hAnsi="Calibri"/>
                <w:b/>
                <w:color w:val="E5484D"/>
                <w:sz w:val="22"/>
              </w:rPr>
              <w:t>Open Market Sale</w:t>
            </w:r>
          </w:p>
        </w:tc>
        <w:tc>
          <w:tcPr>
            <w:tcW w:type="dxa" w:w="1234"/>
          </w:tcPr>
          <w:p>
            <w:r>
              <w:rPr>
                <w:rFonts w:ascii="Calibri" w:hAnsi="Calibri"/>
                <w:sz w:val="22"/>
              </w:rPr>
              <w:t>1,000</w:t>
            </w:r>
          </w:p>
        </w:tc>
        <w:tc>
          <w:tcPr>
            <w:tcW w:type="dxa" w:w="1234"/>
          </w:tcPr>
          <w:p>
            <w:r>
              <w:rPr>
                <w:rFonts w:ascii="Calibri" w:hAnsi="Calibri"/>
                <w:sz w:val="22"/>
              </w:rPr>
              <w:t>June 10, 2026</w:t>
            </w:r>
          </w:p>
        </w:tc>
        <w:tc>
          <w:tcPr>
            <w:tcW w:type="dxa" w:w="1234"/>
          </w:tcPr>
          <w:p>
            <w:r>
              <w:rPr>
                <w:rFonts w:ascii="Calibri" w:hAnsi="Calibri"/>
                <w:sz w:val="22"/>
              </w:rPr>
              <w:t>June 12, 2026</w:t>
            </w:r>
          </w:p>
        </w:tc>
        <w:tc>
          <w:tcPr>
            <w:tcW w:type="dxa" w:w="1234"/>
          </w:tcPr>
          <w:p>
            <w:r>
              <w:rPr>
                <w:rFonts w:ascii="Calibri" w:hAnsi="Calibri"/>
                <w:sz w:val="22"/>
              </w:rPr>
              <w:t>Discretionary sale (no 10b5-1 plan indicated); most notable transaction in the window</w:t>
            </w:r>
          </w:p>
        </w:tc>
      </w:tr>
      <w:tr>
        <w:tc>
          <w:tcPr>
            <w:tcW w:type="dxa" w:w="1234"/>
          </w:tcPr>
          <w:p>
            <w:r>
              <w:rPr>
                <w:rFonts w:ascii="Calibri" w:hAnsi="Calibri"/>
                <w:sz w:val="22"/>
              </w:rPr>
              <w:t>Edward Cooper Werner</w:t>
            </w:r>
          </w:p>
        </w:tc>
        <w:tc>
          <w:tcPr>
            <w:tcW w:type="dxa" w:w="1234"/>
          </w:tcPr>
          <w:p>
            <w:r>
              <w:rPr>
                <w:rFonts w:ascii="Calibri" w:hAnsi="Calibri"/>
                <w:sz w:val="22"/>
              </w:rPr>
              <w:t>CFO</w:t>
            </w:r>
          </w:p>
        </w:tc>
        <w:tc>
          <w:tcPr>
            <w:tcW w:type="dxa" w:w="1234"/>
          </w:tcPr>
          <w:p>
            <w:r>
              <w:rPr>
                <w:rFonts w:ascii="Calibri" w:hAnsi="Calibri"/>
                <w:sz w:val="22"/>
              </w:rPr>
              <w:t>10b5-1 Planned Sale</w:t>
            </w:r>
          </w:p>
        </w:tc>
        <w:tc>
          <w:tcPr>
            <w:tcW w:type="dxa" w:w="1234"/>
          </w:tcPr>
          <w:p>
            <w:r>
              <w:rPr>
                <w:rFonts w:ascii="Calibri" w:hAnsi="Calibri"/>
                <w:sz w:val="22"/>
              </w:rPr>
              <w:t>2,500</w:t>
            </w:r>
          </w:p>
        </w:tc>
        <w:tc>
          <w:tcPr>
            <w:tcW w:type="dxa" w:w="1234"/>
          </w:tcPr>
          <w:p>
            <w:r>
              <w:rPr>
                <w:rFonts w:ascii="Calibri" w:hAnsi="Calibri"/>
                <w:sz w:val="22"/>
              </w:rPr>
              <w:t>June 2, 2026</w:t>
            </w:r>
          </w:p>
        </w:tc>
        <w:tc>
          <w:tcPr>
            <w:tcW w:type="dxa" w:w="1234"/>
          </w:tcPr>
          <w:p>
            <w:r>
              <w:rPr>
                <w:rFonts w:ascii="Calibri" w:hAnsi="Calibri"/>
                <w:sz w:val="22"/>
              </w:rPr>
              <w:t>June 3, 2026</w:t>
            </w:r>
          </w:p>
        </w:tc>
        <w:tc>
          <w:tcPr>
            <w:tcW w:type="dxa" w:w="1234"/>
          </w:tcPr>
          <w:p>
            <w:r>
              <w:rPr>
                <w:rFonts w:ascii="Calibri" w:hAnsi="Calibri"/>
                <w:sz w:val="22"/>
              </w:rPr>
              <w:t>Pre-planned; routine plan execution</w:t>
            </w:r>
          </w:p>
        </w:tc>
      </w:tr>
      <w:tr>
        <w:tc>
          <w:tcPr>
            <w:tcW w:type="dxa" w:w="1234"/>
          </w:tcPr>
          <w:p>
            <w:r>
              <w:rPr>
                <w:rFonts w:ascii="Calibri" w:hAnsi="Calibri"/>
                <w:sz w:val="22"/>
              </w:rPr>
              <w:t>Edward Cooper Werner</w:t>
            </w:r>
          </w:p>
        </w:tc>
        <w:tc>
          <w:tcPr>
            <w:tcW w:type="dxa" w:w="1234"/>
          </w:tcPr>
          <w:p>
            <w:r>
              <w:rPr>
                <w:rFonts w:ascii="Calibri" w:hAnsi="Calibri"/>
                <w:sz w:val="22"/>
              </w:rPr>
              <w:t>CFO</w:t>
            </w:r>
          </w:p>
        </w:tc>
        <w:tc>
          <w:tcPr>
            <w:tcW w:type="dxa" w:w="1234"/>
          </w:tcPr>
          <w:p>
            <w:r>
              <w:rPr>
                <w:rFonts w:ascii="Calibri" w:hAnsi="Calibri"/>
                <w:sz w:val="22"/>
              </w:rPr>
              <w:t>10b5-1 Planned Sale</w:t>
            </w:r>
          </w:p>
        </w:tc>
        <w:tc>
          <w:tcPr>
            <w:tcW w:type="dxa" w:w="1234"/>
          </w:tcPr>
          <w:p>
            <w:r>
              <w:rPr>
                <w:rFonts w:ascii="Calibri" w:hAnsi="Calibri"/>
                <w:sz w:val="22"/>
              </w:rPr>
              <w:t>1,500</w:t>
            </w:r>
          </w:p>
        </w:tc>
        <w:tc>
          <w:tcPr>
            <w:tcW w:type="dxa" w:w="1234"/>
          </w:tcPr>
          <w:p>
            <w:r>
              <w:rPr>
                <w:rFonts w:ascii="Calibri" w:hAnsi="Calibri"/>
                <w:sz w:val="22"/>
              </w:rPr>
              <w:t>May 8, 2026</w:t>
            </w:r>
          </w:p>
        </w:tc>
        <w:tc>
          <w:tcPr>
            <w:tcW w:type="dxa" w:w="1234"/>
          </w:tcPr>
          <w:p>
            <w:r>
              <w:rPr>
                <w:rFonts w:ascii="Calibri" w:hAnsi="Calibri"/>
                <w:sz w:val="22"/>
              </w:rPr>
              <w:t>May 12, 2026</w:t>
            </w:r>
          </w:p>
        </w:tc>
        <w:tc>
          <w:tcPr>
            <w:tcW w:type="dxa" w:w="1234"/>
          </w:tcPr>
          <w:p>
            <w:r>
              <w:rPr>
                <w:rFonts w:ascii="Calibri" w:hAnsi="Calibri"/>
                <w:sz w:val="22"/>
              </w:rPr>
              <w:t>Pre-planned; routine plan execution</w:t>
            </w:r>
          </w:p>
        </w:tc>
      </w:tr>
      <w:tr>
        <w:tc>
          <w:tcPr>
            <w:tcW w:type="dxa" w:w="1234"/>
          </w:tcPr>
          <w:p>
            <w:r>
              <w:rPr>
                <w:rFonts w:ascii="Calibri" w:hAnsi="Calibri"/>
                <w:sz w:val="22"/>
              </w:rPr>
              <w:t>Chad Michael Whalen</w:t>
            </w:r>
          </w:p>
        </w:tc>
        <w:tc>
          <w:tcPr>
            <w:tcW w:type="dxa" w:w="1234"/>
          </w:tcPr>
          <w:p>
            <w:r>
              <w:rPr>
                <w:rFonts w:ascii="Calibri" w:hAnsi="Calibri"/>
                <w:sz w:val="22"/>
              </w:rPr>
              <w:t>EVP, Worldwide Sales</w:t>
            </w:r>
          </w:p>
        </w:tc>
        <w:tc>
          <w:tcPr>
            <w:tcW w:type="dxa" w:w="1234"/>
          </w:tcPr>
          <w:p>
            <w:r>
              <w:rPr>
                <w:rFonts w:ascii="Calibri" w:hAnsi="Calibri"/>
                <w:sz w:val="22"/>
              </w:rPr>
              <w:t>10b5-1 Planned Sale</w:t>
            </w:r>
          </w:p>
        </w:tc>
        <w:tc>
          <w:tcPr>
            <w:tcW w:type="dxa" w:w="1234"/>
          </w:tcPr>
          <w:p>
            <w:r>
              <w:rPr>
                <w:rFonts w:ascii="Calibri" w:hAnsi="Calibri"/>
                <w:sz w:val="22"/>
              </w:rPr>
              <w:t>6,200</w:t>
            </w:r>
          </w:p>
        </w:tc>
        <w:tc>
          <w:tcPr>
            <w:tcW w:type="dxa" w:w="1234"/>
          </w:tcPr>
          <w:p>
            <w:r>
              <w:rPr>
                <w:rFonts w:ascii="Calibri" w:hAnsi="Calibri"/>
                <w:sz w:val="22"/>
              </w:rPr>
              <w:t>May 8, 2026</w:t>
            </w:r>
          </w:p>
        </w:tc>
        <w:tc>
          <w:tcPr>
            <w:tcW w:type="dxa" w:w="1234"/>
          </w:tcPr>
          <w:p>
            <w:r>
              <w:rPr>
                <w:rFonts w:ascii="Calibri" w:hAnsi="Calibri"/>
                <w:sz w:val="22"/>
              </w:rPr>
              <w:t>May 12, 2026</w:t>
            </w:r>
          </w:p>
        </w:tc>
        <w:tc>
          <w:tcPr>
            <w:tcW w:type="dxa" w:w="1234"/>
          </w:tcPr>
          <w:p>
            <w:r>
              <w:rPr>
                <w:rFonts w:ascii="Calibri" w:hAnsi="Calibri"/>
                <w:sz w:val="22"/>
              </w:rPr>
              <w:t>Pre-planned; largest single transaction by share count in the window</w:t>
            </w:r>
          </w:p>
        </w:tc>
      </w:tr>
      <w:tr>
        <w:tc>
          <w:tcPr>
            <w:tcW w:type="dxa" w:w="1234"/>
          </w:tcPr>
          <w:p>
            <w:r>
              <w:rPr>
                <w:rFonts w:ascii="Calibri" w:hAnsi="Calibri"/>
                <w:sz w:val="22"/>
              </w:rPr>
              <w:t>Thomas Dean Fountain</w:t>
            </w:r>
          </w:p>
        </w:tc>
        <w:tc>
          <w:tcPr>
            <w:tcW w:type="dxa" w:w="1234"/>
          </w:tcPr>
          <w:p>
            <w:r>
              <w:rPr>
                <w:rFonts w:ascii="Calibri" w:hAnsi="Calibri"/>
                <w:sz w:val="22"/>
              </w:rPr>
              <w:t>EVP Global Services &amp; Strategy</w:t>
            </w:r>
          </w:p>
        </w:tc>
        <w:tc>
          <w:tcPr>
            <w:tcW w:type="dxa" w:w="1234"/>
          </w:tcPr>
          <w:p>
            <w:r>
              <w:rPr>
                <w:rFonts w:ascii="Calibri" w:hAnsi="Calibri"/>
                <w:sz w:val="22"/>
              </w:rPr>
              <w:t>10b5-1 Planned Sale</w:t>
            </w:r>
          </w:p>
        </w:tc>
        <w:tc>
          <w:tcPr>
            <w:tcW w:type="dxa" w:w="1234"/>
          </w:tcPr>
          <w:p>
            <w:r>
              <w:rPr>
                <w:rFonts w:ascii="Calibri" w:hAnsi="Calibri"/>
                <w:sz w:val="22"/>
              </w:rPr>
              <w:t>1,328</w:t>
            </w:r>
          </w:p>
        </w:tc>
        <w:tc>
          <w:tcPr>
            <w:tcW w:type="dxa" w:w="1234"/>
          </w:tcPr>
          <w:p>
            <w:r>
              <w:rPr>
                <w:rFonts w:ascii="Calibri" w:hAnsi="Calibri"/>
                <w:sz w:val="22"/>
              </w:rPr>
              <w:t>May 5, 2026</w:t>
            </w:r>
          </w:p>
        </w:tc>
        <w:tc>
          <w:tcPr>
            <w:tcW w:type="dxa" w:w="1234"/>
          </w:tcPr>
          <w:p>
            <w:r>
              <w:rPr>
                <w:rFonts w:ascii="Calibri" w:hAnsi="Calibri"/>
                <w:sz w:val="22"/>
              </w:rPr>
              <w:t>May 7, 2026</w:t>
            </w:r>
          </w:p>
        </w:tc>
        <w:tc>
          <w:tcPr>
            <w:tcW w:type="dxa" w:w="1234"/>
          </w:tcPr>
          <w:p>
            <w:r>
              <w:rPr>
                <w:rFonts w:ascii="Calibri" w:hAnsi="Calibri"/>
                <w:sz w:val="22"/>
              </w:rPr>
              <w:t>Pre-planned; routine plan execution</w:t>
            </w:r>
          </w:p>
        </w:tc>
      </w:tr>
      <w:tr>
        <w:tc>
          <w:tcPr>
            <w:tcW w:type="dxa" w:w="1234"/>
          </w:tcPr>
          <w:p>
            <w:r>
              <w:rPr>
                <w:rFonts w:ascii="Calibri" w:hAnsi="Calibri"/>
                <w:sz w:val="22"/>
              </w:rPr>
              <w:t>Francois Locoh-Donou</w:t>
            </w:r>
          </w:p>
        </w:tc>
        <w:tc>
          <w:tcPr>
            <w:tcW w:type="dxa" w:w="1234"/>
          </w:tcPr>
          <w:p>
            <w:r>
              <w:rPr>
                <w:rFonts w:ascii="Calibri" w:hAnsi="Calibri"/>
                <w:sz w:val="22"/>
              </w:rPr>
              <w:t>President, CEO &amp; Director</w:t>
            </w:r>
          </w:p>
        </w:tc>
        <w:tc>
          <w:tcPr>
            <w:tcW w:type="dxa" w:w="1234"/>
          </w:tcPr>
          <w:p>
            <w:r>
              <w:rPr>
                <w:rFonts w:ascii="Calibri" w:hAnsi="Calibri"/>
                <w:sz w:val="22"/>
              </w:rPr>
              <w:t>10b5-1 Planned Sale</w:t>
            </w:r>
          </w:p>
        </w:tc>
        <w:tc>
          <w:tcPr>
            <w:tcW w:type="dxa" w:w="1234"/>
          </w:tcPr>
          <w:p>
            <w:r>
              <w:rPr>
                <w:rFonts w:ascii="Calibri" w:hAnsi="Calibri"/>
                <w:sz w:val="22"/>
              </w:rPr>
              <w:t>3,783</w:t>
            </w:r>
          </w:p>
        </w:tc>
        <w:tc>
          <w:tcPr>
            <w:tcW w:type="dxa" w:w="1234"/>
          </w:tcPr>
          <w:p>
            <w:r>
              <w:rPr>
                <w:rFonts w:ascii="Calibri" w:hAnsi="Calibri"/>
                <w:sz w:val="22"/>
              </w:rPr>
              <w:t>May 5, 2026</w:t>
            </w:r>
          </w:p>
        </w:tc>
        <w:tc>
          <w:tcPr>
            <w:tcW w:type="dxa" w:w="1234"/>
          </w:tcPr>
          <w:p>
            <w:r>
              <w:rPr>
                <w:rFonts w:ascii="Calibri" w:hAnsi="Calibri"/>
                <w:sz w:val="22"/>
              </w:rPr>
              <w:t>May 7, 2026</w:t>
            </w:r>
          </w:p>
        </w:tc>
        <w:tc>
          <w:tcPr>
            <w:tcW w:type="dxa" w:w="1234"/>
          </w:tcPr>
          <w:p>
            <w:r>
              <w:rPr>
                <w:rFonts w:ascii="Calibri" w:hAnsi="Calibri"/>
                <w:sz w:val="22"/>
              </w:rPr>
              <w:t>Pre-planned; CEO retains 146,989 shares post-sale</w:t>
            </w:r>
          </w:p>
        </w:tc>
      </w:tr>
      <w:tr>
        <w:tc>
          <w:tcPr>
            <w:tcW w:type="dxa" w:w="1234"/>
          </w:tcPr>
          <w:p>
            <w:r>
              <w:rPr>
                <w:rFonts w:ascii="Calibri" w:hAnsi="Calibri"/>
                <w:sz w:val="22"/>
              </w:rPr>
              <w:t>Kunal Anand</w:t>
            </w:r>
          </w:p>
        </w:tc>
        <w:tc>
          <w:tcPr>
            <w:tcW w:type="dxa" w:w="1234"/>
          </w:tcPr>
          <w:p>
            <w:r>
              <w:rPr>
                <w:rFonts w:ascii="Calibri" w:hAnsi="Calibri"/>
                <w:sz w:val="22"/>
              </w:rPr>
              <w:t>Chief Technology Officer</w:t>
            </w:r>
          </w:p>
        </w:tc>
        <w:tc>
          <w:tcPr>
            <w:tcW w:type="dxa" w:w="1234"/>
          </w:tcPr>
          <w:p>
            <w:r>
              <w:rPr>
                <w:rFonts w:ascii="Calibri" w:hAnsi="Calibri"/>
                <w:sz w:val="22"/>
              </w:rPr>
              <w:t>10b5-1 Planned Sale</w:t>
            </w:r>
          </w:p>
        </w:tc>
        <w:tc>
          <w:tcPr>
            <w:tcW w:type="dxa" w:w="1234"/>
          </w:tcPr>
          <w:p>
            <w:r>
              <w:rPr>
                <w:rFonts w:ascii="Calibri" w:hAnsi="Calibri"/>
                <w:sz w:val="22"/>
              </w:rPr>
              <w:t>3,123</w:t>
            </w:r>
          </w:p>
        </w:tc>
        <w:tc>
          <w:tcPr>
            <w:tcW w:type="dxa" w:w="1234"/>
          </w:tcPr>
          <w:p>
            <w:r>
              <w:rPr>
                <w:rFonts w:ascii="Calibri" w:hAnsi="Calibri"/>
                <w:sz w:val="22"/>
              </w:rPr>
              <w:t>May 4, 2026</w:t>
            </w:r>
          </w:p>
        </w:tc>
        <w:tc>
          <w:tcPr>
            <w:tcW w:type="dxa" w:w="1234"/>
          </w:tcPr>
          <w:p>
            <w:r>
              <w:rPr>
                <w:rFonts w:ascii="Calibri" w:hAnsi="Calibri"/>
                <w:sz w:val="22"/>
              </w:rPr>
              <w:t>May 5, 2026</w:t>
            </w:r>
          </w:p>
        </w:tc>
        <w:tc>
          <w:tcPr>
            <w:tcW w:type="dxa" w:w="1234"/>
          </w:tcPr>
          <w:p>
            <w:r>
              <w:rPr>
                <w:rFonts w:ascii="Calibri" w:hAnsi="Calibri"/>
                <w:sz w:val="22"/>
              </w:rPr>
              <w:t>Pre-planned; routine plan execution</w:t>
            </w:r>
          </w:p>
        </w:tc>
      </w:tr>
      <w:tr>
        <w:tc>
          <w:tcPr>
            <w:tcW w:type="dxa" w:w="1234"/>
          </w:tcPr>
          <w:p>
            <w:r>
              <w:rPr>
                <w:rFonts w:ascii="Calibri" w:hAnsi="Calibri"/>
                <w:sz w:val="22"/>
              </w:rPr>
              <w:t>John Anthony Maddison</w:t>
            </w:r>
          </w:p>
        </w:tc>
        <w:tc>
          <w:tcPr>
            <w:tcW w:type="dxa" w:w="1234"/>
          </w:tcPr>
          <w:p>
            <w:r>
              <w:rPr>
                <w:rFonts w:ascii="Calibri" w:hAnsi="Calibri"/>
                <w:sz w:val="22"/>
              </w:rPr>
              <w:t>Chief Product &amp; Marketing Officer</w:t>
            </w:r>
          </w:p>
        </w:tc>
        <w:tc>
          <w:tcPr>
            <w:tcW w:type="dxa" w:w="1234"/>
          </w:tcPr>
          <w:p>
            <w:r>
              <w:rPr>
                <w:rFonts w:ascii="Calibri" w:hAnsi="Calibri"/>
                <w:sz w:val="22"/>
              </w:rPr>
              <w:t>10b5-1 Planned Sale</w:t>
            </w:r>
          </w:p>
        </w:tc>
        <w:tc>
          <w:tcPr>
            <w:tcW w:type="dxa" w:w="1234"/>
          </w:tcPr>
          <w:p>
            <w:r>
              <w:rPr>
                <w:rFonts w:ascii="Calibri" w:hAnsi="Calibri"/>
                <w:sz w:val="22"/>
              </w:rPr>
              <w:t>1,000</w:t>
            </w:r>
          </w:p>
        </w:tc>
        <w:tc>
          <w:tcPr>
            <w:tcW w:type="dxa" w:w="1234"/>
          </w:tcPr>
          <w:p>
            <w:r>
              <w:rPr>
                <w:rFonts w:ascii="Calibri" w:hAnsi="Calibri"/>
                <w:sz w:val="22"/>
              </w:rPr>
              <w:t>May 4, 2026</w:t>
            </w:r>
          </w:p>
        </w:tc>
        <w:tc>
          <w:tcPr>
            <w:tcW w:type="dxa" w:w="1234"/>
          </w:tcPr>
          <w:p>
            <w:r>
              <w:rPr>
                <w:rFonts w:ascii="Calibri" w:hAnsi="Calibri"/>
                <w:sz w:val="22"/>
              </w:rPr>
              <w:t>May 5, 2026</w:t>
            </w:r>
          </w:p>
        </w:tc>
        <w:tc>
          <w:tcPr>
            <w:tcW w:type="dxa" w:w="1234"/>
          </w:tcPr>
          <w:p>
            <w:r>
              <w:rPr>
                <w:rFonts w:ascii="Calibri" w:hAnsi="Calibri"/>
                <w:sz w:val="22"/>
              </w:rPr>
              <w:t>Pre-planned; routine plan execution</w:t>
            </w:r>
          </w:p>
        </w:tc>
      </w:tr>
      <w:tr>
        <w:tc>
          <w:tcPr>
            <w:tcW w:type="dxa" w:w="1234"/>
          </w:tcPr>
          <w:p>
            <w:r>
              <w:rPr>
                <w:rFonts w:ascii="Calibri" w:hAnsi="Calibri"/>
                <w:sz w:val="22"/>
              </w:rPr>
              <w:t>Angelique M. Okeke</w:t>
            </w:r>
          </w:p>
        </w:tc>
        <w:tc>
          <w:tcPr>
            <w:tcW w:type="dxa" w:w="1234"/>
          </w:tcPr>
          <w:p>
            <w:r>
              <w:rPr>
                <w:rFonts w:ascii="Calibri" w:hAnsi="Calibri"/>
                <w:sz w:val="22"/>
              </w:rPr>
              <w:t>EVP, General Counsel</w:t>
            </w:r>
          </w:p>
        </w:tc>
        <w:tc>
          <w:tcPr>
            <w:tcW w:type="dxa" w:w="1234"/>
          </w:tcPr>
          <w:p>
            <w:r>
              <w:rPr>
                <w:rFonts w:ascii="Calibri" w:hAnsi="Calibri"/>
                <w:sz w:val="22"/>
              </w:rPr>
              <w:t>10b5-1 Planned Sale</w:t>
            </w:r>
          </w:p>
        </w:tc>
        <w:tc>
          <w:tcPr>
            <w:tcW w:type="dxa" w:w="1234"/>
          </w:tcPr>
          <w:p>
            <w:r>
              <w:rPr>
                <w:rFonts w:ascii="Calibri" w:hAnsi="Calibri"/>
                <w:sz w:val="22"/>
              </w:rPr>
              <w:t>842</w:t>
            </w:r>
          </w:p>
        </w:tc>
        <w:tc>
          <w:tcPr>
            <w:tcW w:type="dxa" w:w="1234"/>
          </w:tcPr>
          <w:p>
            <w:r>
              <w:rPr>
                <w:rFonts w:ascii="Calibri" w:hAnsi="Calibri"/>
                <w:sz w:val="22"/>
              </w:rPr>
              <w:t>May 4, 2026</w:t>
            </w:r>
          </w:p>
        </w:tc>
        <w:tc>
          <w:tcPr>
            <w:tcW w:type="dxa" w:w="1234"/>
          </w:tcPr>
          <w:p>
            <w:r>
              <w:rPr>
                <w:rFonts w:ascii="Calibri" w:hAnsi="Calibri"/>
                <w:sz w:val="22"/>
              </w:rPr>
              <w:t>May 5, 2026</w:t>
            </w:r>
          </w:p>
        </w:tc>
        <w:tc>
          <w:tcPr>
            <w:tcW w:type="dxa" w:w="1234"/>
          </w:tcPr>
          <w:p>
            <w:r>
              <w:rPr>
                <w:rFonts w:ascii="Calibri" w:hAnsi="Calibri"/>
                <w:sz w:val="22"/>
              </w:rPr>
              <w:t>Pre-planned; routine plan execution</w:t>
            </w:r>
          </w:p>
        </w:tc>
      </w:tr>
      <w:tr>
        <w:tc>
          <w:tcPr>
            <w:tcW w:type="dxa" w:w="1234"/>
          </w:tcPr>
          <w:p>
            <w:r>
              <w:rPr>
                <w:rFonts w:ascii="Calibri" w:hAnsi="Calibri"/>
                <w:sz w:val="22"/>
              </w:rPr>
              <w:t>Edward Cooper Werner</w:t>
            </w:r>
          </w:p>
        </w:tc>
        <w:tc>
          <w:tcPr>
            <w:tcW w:type="dxa" w:w="1234"/>
          </w:tcPr>
          <w:p>
            <w:r>
              <w:rPr>
                <w:rFonts w:ascii="Calibri" w:hAnsi="Calibri"/>
                <w:sz w:val="22"/>
              </w:rPr>
              <w:t>CFO</w:t>
            </w:r>
          </w:p>
        </w:tc>
        <w:tc>
          <w:tcPr>
            <w:tcW w:type="dxa" w:w="1234"/>
          </w:tcPr>
          <w:p>
            <w:r>
              <w:rPr>
                <w:rFonts w:ascii="Calibri" w:hAnsi="Calibri"/>
                <w:sz w:val="22"/>
              </w:rPr>
              <w:t>10b5-1 Planned Sale</w:t>
            </w:r>
          </w:p>
        </w:tc>
        <w:tc>
          <w:tcPr>
            <w:tcW w:type="dxa" w:w="1234"/>
          </w:tcPr>
          <w:p>
            <w:r>
              <w:rPr>
                <w:rFonts w:ascii="Calibri" w:hAnsi="Calibri"/>
                <w:sz w:val="22"/>
              </w:rPr>
              <w:t>599</w:t>
            </w:r>
          </w:p>
        </w:tc>
        <w:tc>
          <w:tcPr>
            <w:tcW w:type="dxa" w:w="1234"/>
          </w:tcPr>
          <w:p>
            <w:r>
              <w:rPr>
                <w:rFonts w:ascii="Calibri" w:hAnsi="Calibri"/>
                <w:sz w:val="22"/>
              </w:rPr>
              <w:t>May 4, 2026</w:t>
            </w:r>
          </w:p>
        </w:tc>
        <w:tc>
          <w:tcPr>
            <w:tcW w:type="dxa" w:w="1234"/>
          </w:tcPr>
          <w:p>
            <w:r>
              <w:rPr>
                <w:rFonts w:ascii="Calibri" w:hAnsi="Calibri"/>
                <w:sz w:val="22"/>
              </w:rPr>
              <w:t>May 5, 2026</w:t>
            </w:r>
          </w:p>
        </w:tc>
        <w:tc>
          <w:tcPr>
            <w:tcW w:type="dxa" w:w="1234"/>
          </w:tcPr>
          <w:p>
            <w:r>
              <w:rPr>
                <w:rFonts w:ascii="Calibri" w:hAnsi="Calibri"/>
                <w:sz w:val="22"/>
              </w:rPr>
              <w:t>Pre-planned; routine plan execution</w:t>
            </w:r>
          </w:p>
        </w:tc>
      </w:tr>
      <w:tr>
        <w:tc>
          <w:tcPr>
            <w:tcW w:type="dxa" w:w="1234"/>
          </w:tcPr>
          <w:p>
            <w:r>
              <w:rPr>
                <w:rFonts w:ascii="Calibri" w:hAnsi="Calibri"/>
                <w:sz w:val="22"/>
              </w:rPr>
              <w:t>Chad Michael Whalen</w:t>
            </w:r>
          </w:p>
        </w:tc>
        <w:tc>
          <w:tcPr>
            <w:tcW w:type="dxa" w:w="1234"/>
          </w:tcPr>
          <w:p>
            <w:r>
              <w:rPr>
                <w:rFonts w:ascii="Calibri" w:hAnsi="Calibri"/>
                <w:sz w:val="22"/>
              </w:rPr>
              <w:t>EVP, Worldwide Sales</w:t>
            </w:r>
          </w:p>
        </w:tc>
        <w:tc>
          <w:tcPr>
            <w:tcW w:type="dxa" w:w="1234"/>
          </w:tcPr>
          <w:p>
            <w:r>
              <w:rPr>
                <w:rFonts w:ascii="Calibri" w:hAnsi="Calibri"/>
                <w:sz w:val="22"/>
              </w:rPr>
              <w:t>10b5-1 Planned Sale</w:t>
            </w:r>
          </w:p>
        </w:tc>
        <w:tc>
          <w:tcPr>
            <w:tcW w:type="dxa" w:w="1234"/>
          </w:tcPr>
          <w:p>
            <w:r>
              <w:rPr>
                <w:rFonts w:ascii="Calibri" w:hAnsi="Calibri"/>
                <w:sz w:val="22"/>
              </w:rPr>
              <w:t>704</w:t>
            </w:r>
          </w:p>
        </w:tc>
        <w:tc>
          <w:tcPr>
            <w:tcW w:type="dxa" w:w="1234"/>
          </w:tcPr>
          <w:p>
            <w:r>
              <w:rPr>
                <w:rFonts w:ascii="Calibri" w:hAnsi="Calibri"/>
                <w:sz w:val="22"/>
              </w:rPr>
              <w:t>May 4, 2026</w:t>
            </w:r>
          </w:p>
        </w:tc>
        <w:tc>
          <w:tcPr>
            <w:tcW w:type="dxa" w:w="1234"/>
          </w:tcPr>
          <w:p>
            <w:r>
              <w:rPr>
                <w:rFonts w:ascii="Calibri" w:hAnsi="Calibri"/>
                <w:sz w:val="22"/>
              </w:rPr>
              <w:t>May 5, 2026</w:t>
            </w:r>
          </w:p>
        </w:tc>
        <w:tc>
          <w:tcPr>
            <w:tcW w:type="dxa" w:w="1234"/>
          </w:tcPr>
          <w:p>
            <w:r>
              <w:rPr>
                <w:rFonts w:ascii="Calibri" w:hAnsi="Calibri"/>
                <w:sz w:val="22"/>
              </w:rPr>
              <w:t>Pre-planned; routine plan execution</w:t>
            </w:r>
          </w:p>
        </w:tc>
      </w:tr>
    </w:tbl>
    <w:p>
      <w:r>
        <w:rPr>
          <w:rFonts w:ascii="Calibri" w:hAnsi="Calibri"/>
          <w:b/>
          <w:color w:val="525866"/>
          <w:sz w:val="22"/>
        </w:rPr>
        <w:t xml:space="preserve">Notes: </w:t>
      </w:r>
      <w:r>
        <w:rPr>
          <w:rFonts w:ascii="Calibri" w:hAnsi="Calibri"/>
          <w:color w:val="525866"/>
          <w:sz w:val="22"/>
        </w:rPr>
        <w:t>Transaction dates reflect the effective date of the trade (when the transaction actually occurred); disclosure dates reflect when the Form 4 was filed with the SEC. The cluster of 10b5-1 sales on May 4–5, 2026 (one week after the Q2 earnings beat) is consistent with pre-established plan execution triggered by the stock’s post-earnings price appreciation. The Director Buse sale on June 10 is the only discretionary open-market sale in the window; at 1,000 shares it is modest relative to her remaining 4,947-share position. No open-market purchases were recorded in the period. Source: SEC Form 4 filings; Insider Transaction Data.</w:t>
      </w:r>
    </w:p>
    <w:p>
      <w:r>
        <w:rPr>
          <w:rFonts w:ascii="Calibri" w:hAnsi="Calibri"/>
          <w:b/>
          <w:color w:val="525866"/>
          <w:sz w:val="22"/>
        </w:rPr>
        <w:t xml:space="preserve">Data Sources: </w:t>
      </w:r>
      <w:r>
        <w:rPr>
          <w:rFonts w:ascii="Calibri" w:hAnsi="Calibri"/>
          <w:i/>
          <w:color w:val="525866"/>
          <w:sz w:val="22"/>
        </w:rPr>
        <w:t>Visible Alpha consensus and actuals data (all KPI tables and revision tracker); F5 Q2 FY2026 Earnings Release and Earnings Call transcript (April 28, 2026); F5 Analyst and Investor Meeting transcript (May 28, 2026); F5 Form 8-K filings (June 23, 2026; March 13, 2026); CrowdStrike FY2027 Q1 Earnings Call and Release (June 3, 2026); Okta FY2027 Q1 Earnings Call and Release (May 28, 2026); Oracle FY2026 Q4 Earnings Call and Release (June 10, 2026); Zscaler Zenith Live Investor Session (June 9, 2026); SEC Form 4 filings (Insider Transaction Data); Yahoo Finance Stock Price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