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Let me gather the year-ago Q2 comparison, recent news, and stock price data.Let me check for analyst consensus estimates and any recent data-center/sector news.# Comfort Systems USA (FIX) — Q2 2026 Earnings Preview</w:t>
      </w:r>
    </w:p>
    <w:bookmarkStart w:id="9" w:name="Xb2b5194fed431ac8e79d59bc37f8433c94f9e02"/>
    <w:p>
      <w:pPr>
        <w:pStyle w:val="Heading3"/>
      </w:pPr>
      <w:r>
        <w:t xml:space="preserve">Report expected after the close, Thursday July 23, 2026 (call July 24)</w:t>
      </w:r>
    </w:p>
    <w:p>
      <w:r>
        <w:pict>
          <v:rect style="width:0;height:1.5pt" o:hralign="center" o:hrstd="t" o:hr="t"/>
        </w:pict>
      </w:r>
    </w:p>
    <w:bookmarkEnd w:id="9"/>
    <w:bookmarkStart w:id="10" w:name="the-setup-in-one-line"/>
    <w:p>
      <w:pPr>
        <w:pStyle w:val="Heading2"/>
      </w:pPr>
      <w:r>
        <w:t xml:space="preserve">The setup in one line</w:t>
      </w:r>
    </w:p>
    <w:p>
      <w:pPr>
        <w:pStyle w:val="FirstParagraph"/>
      </w:pPr>
      <w:r>
        <w:t xml:space="preserve">FIX goes into this print as one of the market's premier "AI/data-center infrastructure" plays, having roughly doubled EPS year-over-year for several straight quarters. The debate is no longer whether demand is strong — it is whether the extraordinary growth and record margins can be sustained, and how much upside is already priced into a stock that has run ~80% year-to-date.</w:t>
      </w:r>
    </w:p>
    <w:p>
      <w:r>
        <w:pict>
          <v:rect style="width:0;height:1.5pt" o:hralign="center" o:hrstd="t" o:hr="t"/>
        </w:pict>
      </w:r>
    </w:p>
    <w:bookmarkEnd w:id="10"/>
    <w:bookmarkStart w:id="11" w:name="what-the-street-is-looking-for"/>
    <w:p>
      <w:pPr>
        <w:pStyle w:val="Heading2"/>
      </w:pPr>
      <w:r>
        <w:t xml:space="preserve">What the Street is looking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Consensus EPS:</w:t>
      </w:r>
      <w:r>
        <w:t xml:space="preserve"> </w:t>
      </w:r>
      <w:r>
        <w:t xml:space="preserve">roughly</w:t>
      </w:r>
      <w:r>
        <w:t xml:space="preserve"> </w:t>
      </w:r>
      <m:oMath>
        <m:r>
          <m:t>10.35</m:t>
        </m:r>
        <m:r>
          <m:rPr>
            <m:sty m:val="p"/>
          </m:rPr>
          <m:t>–</m:t>
        </m:r>
      </m:oMath>
      <w:r>
        <w:rPr>
          <w:b/>
          <w:bCs/>
        </w:rPr>
        <w:t xml:space="preserve">10.45</w:t>
      </w:r>
      <w:r>
        <w:t xml:space="preserve">, per multiple aggregators</w:t>
      </w:r>
      <w:r>
        <w:t xml:space="preserve"> </w:t>
      </w:r>
      <w:r>
        <w:t xml:space="preserve">Analysts expect the company to post earnings of $10.45 per share and revenue of $2.9892 billion for the quarter</w:t>
      </w:r>
      <w:r>
        <w:t xml:space="preserve">, while</w:t>
      </w:r>
      <w:r>
        <w:t xml:space="preserve"> </w:t>
      </w:r>
      <w:r>
        <w:t xml:space="preserve">analysts expect EPS of $10.38 and revenue of $2.94 billion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Implied growth:</w:t>
      </w:r>
      <w:r>
        <w:t xml:space="preserve"> </w:t>
      </w:r>
      <w:r>
        <w:t xml:space="preserve">That would be roughly</w:t>
      </w:r>
      <w:r>
        <w:t xml:space="preserve"> </w:t>
      </w:r>
      <w:r>
        <w:rPr>
          <w:b/>
          <w:bCs/>
        </w:rPr>
        <w:t xml:space="preserve">+59% EPS</w:t>
      </w:r>
      <w:r>
        <w:t xml:space="preserve"> </w:t>
      </w:r>
      <w:r>
        <w:t xml:space="preserve">(vs. $6.53 a year ago) and</w:t>
      </w:r>
      <w:r>
        <w:t xml:space="preserve"> </w:t>
      </w:r>
      <w:r>
        <w:rPr>
          <w:b/>
          <w:bCs/>
        </w:rPr>
        <w:t xml:space="preserve">+35–38% revenue</w:t>
      </w:r>
      <w:r>
        <w:t xml:space="preserve"> </w:t>
      </w:r>
      <w:r>
        <w:t xml:space="preserve">(vs. $2.17B a year ago).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Track record:</w:t>
      </w:r>
      <w:r>
        <w:t xml:space="preserve"> </w:t>
      </w:r>
      <w:r>
        <w:t xml:space="preserve">FIX's earnings topped the consensus mark in each of the trailing four quarters.</w:t>
      </w:r>
      <w:r>
        <w:t xml:space="preserve"> </w:t>
      </w:r>
      <w:r>
        <w:t xml:space="preserve">The bar for a "clean beat" is therefore high — this company habitually clears estimates.</w:t>
      </w:r>
    </w:p>
    <w:p>
      <w:pPr>
        <w:pStyle w:val="FirstParagraph"/>
      </w:pPr>
      <w:r>
        <w:rPr>
          <w:b/>
          <w:bCs/>
        </w:rPr>
        <w:t xml:space="preserve">Year-ago Q2 2025 baseline (the comp to beat):</w:t>
      </w:r>
      <w:r>
        <w:t xml:space="preserve"> </w:t>
      </w:r>
      <w:r>
        <w:t xml:space="preserve">Revenue $2.17B, gross margin 23.5%, operating margin 13.8%, diluted EPS $6.53, operating cash flow $252.5M, backlog $8.12B.</w:t>
      </w:r>
    </w:p>
    <w:p>
      <w:r>
        <w:pict>
          <v:rect style="width:0;height:1.5pt" o:hralign="center" o:hrstd="t" o:hr="t"/>
        </w:pict>
      </w:r>
    </w:p>
    <w:bookmarkEnd w:id="11"/>
    <w:bookmarkStart w:id="12" w:name="Xf0c3148e39b5670a7b78f606bd48dbf8b64ecd6"/>
    <w:p>
      <w:pPr>
        <w:pStyle w:val="Heading2"/>
      </w:pPr>
      <w:r>
        <w:t xml:space="preserve">Why last quarter matters so much for framing Q2</w:t>
      </w:r>
    </w:p>
    <w:p>
      <w:pPr>
        <w:pStyle w:val="FirstParagraph"/>
      </w:pPr>
      <w:r>
        <w:t xml:space="preserve">Q1 2026 was a blowout that reset expectations:</w:t>
      </w:r>
    </w:p>
    <w:p>
      <w:pPr>
        <w:pStyle w:val="Compact"/>
        <w:numPr>
          <w:ilvl w:val="0"/>
          <w:numId w:val="1002"/>
        </w:numPr>
      </w:pPr>
      <w:r>
        <w:t xml:space="preserve">Revenue</w:t>
      </w:r>
      <w:r>
        <w:t xml:space="preserve"> </w:t>
      </w:r>
      <w:r>
        <w:rPr>
          <w:b/>
          <w:bCs/>
        </w:rPr>
        <w:t xml:space="preserve">$2.87B, +56% YoY</w:t>
      </w:r>
      <w:r>
        <w:t xml:space="preserve">, with</w:t>
      </w:r>
      <w:r>
        <w:t xml:space="preserve"> </w:t>
      </w:r>
      <w:r>
        <w:rPr>
          <w:b/>
          <w:bCs/>
        </w:rPr>
        <w:t xml:space="preserve">same-store growth of 51%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Diluted EPS</w:t>
      </w:r>
      <w:r>
        <w:t xml:space="preserve"> </w:t>
      </w:r>
      <w:r>
        <w:rPr>
          <w:b/>
          <w:bCs/>
        </w:rPr>
        <w:t xml:space="preserve">$10.51</w:t>
      </w:r>
      <w:r>
        <w:t xml:space="preserve">, more than double Q1 2025.</w:t>
      </w:r>
    </w:p>
    <w:p>
      <w:pPr>
        <w:pStyle w:val="Compact"/>
        <w:numPr>
          <w:ilvl w:val="0"/>
          <w:numId w:val="1002"/>
        </w:numPr>
      </w:pPr>
      <w:r>
        <w:t xml:space="preserve">Gross margin hit an</w:t>
      </w:r>
      <w:r>
        <w:t xml:space="preserve"> </w:t>
      </w:r>
      <w:r>
        <w:rPr>
          <w:b/>
          <w:bCs/>
        </w:rPr>
        <w:t xml:space="preserve">all-time high of 26.3%</w:t>
      </w:r>
      <w:r>
        <w:t xml:space="preserve">, operating margin</w:t>
      </w:r>
      <w:r>
        <w:t xml:space="preserve"> </w:t>
      </w:r>
      <w:r>
        <w:rPr>
          <w:b/>
          <w:bCs/>
        </w:rPr>
        <w:t xml:space="preserve">17.0%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Record backlog of</w:t>
      </w:r>
      <w:r>
        <w:t xml:space="preserve"> </w:t>
      </w:r>
      <m:oMath>
        <m:r>
          <m:t>12.45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—</m:t>
        </m:r>
        <m:r>
          <m:t>u</m:t>
        </m:r>
        <m:r>
          <m:t>p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5.3B YoY</w:t>
      </w:r>
      <w:r>
        <w:t xml:space="preserve"> </w:t>
      </w:r>
      <w:r>
        <w:t xml:space="preserve">on a same-store basis.</w:t>
      </w:r>
    </w:p>
    <w:p>
      <w:pPr>
        <w:pStyle w:val="FirstParagraph"/>
      </w:pPr>
      <w:r>
        <w:t xml:space="preserve">Two things to carry into Q2: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one-timer.</w:t>
      </w:r>
      <w:r>
        <w:t xml:space="preserve"> </w:t>
      </w:r>
      <w:r>
        <w:t xml:space="preserve">Q1 gross profit included **</w:t>
      </w:r>
      <m:oMath>
        <m:r>
          <m:t>43</m:t>
        </m:r>
        <m:r>
          <m:t>M</m:t>
        </m:r>
        <m:r>
          <m:t>o</m:t>
        </m:r>
        <m:r>
          <m:t>f</m:t>
        </m:r>
        <m:r>
          <m:t>f</m:t>
        </m:r>
        <m:r>
          <m:t>a</m:t>
        </m:r>
        <m:r>
          <m:t>v</m:t>
        </m:r>
        <m:r>
          <m:t>o</m:t>
        </m:r>
        <m:r>
          <m:t>r</m:t>
        </m:r>
        <m:r>
          <m:t>a</m:t>
        </m:r>
        <m:r>
          <m:t>b</m:t>
        </m:r>
        <m:r>
          <m:t>l</m:t>
        </m:r>
        <m:r>
          <m:t>e</m:t>
        </m:r>
        <m:r>
          <m:t>l</m:t>
        </m:r>
        <m:r>
          <m:t>a</m:t>
        </m:r>
        <m:r>
          <m:t>t</m:t>
        </m:r>
        <m:r>
          <m:t>e</m:t>
        </m:r>
        <m:r>
          <m:rPr>
            <m:sty m:val="p"/>
          </m:rPr>
          <m:t>−</m:t>
        </m:r>
        <m:r>
          <m:t>s</m:t>
        </m:r>
        <m:r>
          <m:t>t</m:t>
        </m:r>
        <m:r>
          <m:t>a</m:t>
        </m:r>
        <m:r>
          <m:t>g</m:t>
        </m:r>
        <m:r>
          <m:t>e</m:t>
        </m:r>
        <m:r>
          <m:t>p</m:t>
        </m:r>
        <m:r>
          <m:t>r</m:t>
        </m:r>
        <m:r>
          <m:t>o</m:t>
        </m:r>
        <m:r>
          <m:t>j</m:t>
        </m:r>
        <m:r>
          <m:t>e</m:t>
        </m:r>
        <m:r>
          <m:t>c</m:t>
        </m:r>
        <m:r>
          <m:t>t</m:t>
        </m:r>
        <m:r>
          <m:rPr>
            <m:sty m:val="p"/>
          </m:rPr>
          <m:t>/</m:t>
        </m:r>
        <m:r>
          <m:t>c</m:t>
        </m:r>
        <m:r>
          <m:t>h</m:t>
        </m:r>
        <m:r>
          <m:t>a</m:t>
        </m:r>
        <m:r>
          <m:t>n</m:t>
        </m:r>
        <m:r>
          <m:t>g</m:t>
        </m:r>
        <m:r>
          <m:t>e</m:t>
        </m:r>
        <m:r>
          <m:rPr>
            <m:sty m:val="p"/>
          </m:rPr>
          <m:t>−</m:t>
        </m:r>
        <m:r>
          <m:t>o</m:t>
        </m:r>
        <m:r>
          <m:t>r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v</m:t>
        </m:r>
        <m:r>
          <m:t>e</m:t>
        </m:r>
        <m:r>
          <m:t>l</m:t>
        </m:r>
        <m:r>
          <m:t>o</m:t>
        </m:r>
        <m:r>
          <m:t>p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 </m:t>
        </m:r>
      </m:oMath>
      <w:r>
        <w:t xml:space="preserve">1/share). Management stressed these are "not repeatable" and that core gross margin was closer to</w:t>
      </w:r>
      <w:r>
        <w:t xml:space="preserve"> </w:t>
      </w:r>
      <w:r>
        <w:rPr>
          <w:b/>
          <w:bCs/>
        </w:rPr>
        <w:t xml:space="preserve">~25.2%</w:t>
      </w:r>
      <w:r>
        <w:t xml:space="preserve">. Watch whether Q2 margin holds in the 25%+ range absent similar items — management guided that margins should "continue in the strong ranges we have averaged over the past several quarters."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acquisition.</w:t>
      </w:r>
      <w:r>
        <w:t xml:space="preserve"> </w:t>
      </w:r>
      <w:r>
        <w:t xml:space="preserve">FIX signed a deal to buy a Western</w:t>
      </w:r>
      <w:r>
        <w:t xml:space="preserve"> </w:t>
      </w:r>
      <w:r>
        <w:rPr>
          <w:b/>
          <w:bCs/>
        </w:rPr>
        <w:t xml:space="preserve">electrical contractor</w:t>
      </w:r>
      <w:r>
        <w:t xml:space="preserve"> </w:t>
      </w:r>
      <w:r>
        <w:t xml:space="preserve">expected to close</w:t>
      </w:r>
      <w:r>
        <w:t xml:space="preserve"> </w:t>
      </w:r>
      <w:r>
        <w:rPr>
          <w:b/>
          <w:bCs/>
        </w:rPr>
        <w:t xml:space="preserve">early May 2026</w:t>
      </w:r>
      <w:r>
        <w:t xml:space="preserve">, adding</w:t>
      </w:r>
      <w:r>
        <w:t xml:space="preserve"> </w:t>
      </w:r>
      <w:r>
        <w:rPr>
          <w:b/>
          <w:bCs/>
        </w:rPr>
        <w:t xml:space="preserve">~$250M annualized revenue at 8–10% EBITDA margins</w:t>
      </w:r>
      <w:r>
        <w:t xml:space="preserve">. Q2 should capture a partial (inorganic) contribution — helpful for the headline but dilutive to the blended margin mix.</w:t>
      </w:r>
    </w:p>
    <w:p>
      <w:r>
        <w:pict>
          <v:rect style="width:0;height:1.5pt" o:hralign="center" o:hrstd="t" o:hr="t"/>
        </w:pict>
      </w:r>
    </w:p>
    <w:bookmarkEnd w:id="12"/>
    <w:bookmarkStart w:id="13" w:name="X968131667ec995e8aa45315b703bf3d1bfd2716"/>
    <w:p>
      <w:pPr>
        <w:pStyle w:val="Heading2"/>
      </w:pPr>
      <w:r>
        <w:t xml:space="preserve">The five things that will actually move the stock</w:t>
      </w:r>
    </w:p>
    <w:p>
      <w:pPr>
        <w:pStyle w:val="FirstParagraph"/>
      </w:pPr>
      <w:r>
        <w:rPr>
          <w:b/>
          <w:bCs/>
        </w:rPr>
        <w:t xml:space="preserve">1. Backlog (the single most-watched number).</w:t>
      </w:r>
      <w:r>
        <w:t xml:space="preserve"> </w:t>
      </w:r>
      <w:r>
        <w:t xml:space="preserve">Backlog was a record</w:t>
      </w:r>
      <w:r>
        <w:t xml:space="preserve"> </w:t>
      </w:r>
      <m:oMath>
        <m:r>
          <m:t>12.45</m:t>
        </m:r>
        <m:r>
          <m:t>B</m:t>
        </m:r>
        <m:r>
          <m:t>a</m:t>
        </m:r>
        <m:r>
          <m:t>t</m:t>
        </m:r>
        <m:r>
          <m:t>Q</m:t>
        </m:r>
        <m:r>
          <m:t>1</m:t>
        </m:r>
        <m:r>
          <m:rPr>
            <m:sty m:val="p"/>
          </m:rPr>
          <m:t>,</m:t>
        </m:r>
        <m:r>
          <m:t>u</m:t>
        </m:r>
        <m:r>
          <m:t>p</m:t>
        </m:r>
        <m:r>
          <m:t>s</m:t>
        </m:r>
        <m:r>
          <m:t>e</m:t>
        </m:r>
        <m:r>
          <m:t>q</m:t>
        </m:r>
        <m:r>
          <m:t>u</m:t>
        </m:r>
        <m:r>
          <m:t>e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e</m:t>
        </m:r>
        <m:r>
          <m:t>v</m:t>
        </m:r>
        <m:r>
          <m:t>e</m:t>
        </m:r>
        <m:r>
          <m:t>n</m:t>
        </m:r>
        <m:r>
          <m:t>a</m:t>
        </m:r>
        <m:r>
          <m:t>s</m:t>
        </m:r>
        <m:r>
          <m:t>b</m:t>
        </m:r>
        <m:r>
          <m:t>u</m:t>
        </m:r>
        <m:r>
          <m:t>r</m:t>
        </m:r>
        <m:r>
          <m:t>n</m:t>
        </m:r>
        <m:r>
          <m:t>r</m:t>
        </m:r>
        <m:r>
          <m:t>a</m:t>
        </m:r>
        <m:r>
          <m:t>t</m:t>
        </m:r>
        <m:r>
          <m:t>e</m:t>
        </m:r>
        <m:r>
          <m:t>s</m:t>
        </m:r>
        <m:r>
          <m:t>r</m:t>
        </m:r>
        <m:r>
          <m:t>o</m:t>
        </m:r>
        <m:r>
          <m:t>s</m:t>
        </m:r>
        <m:r>
          <m:t>e</m:t>
        </m:r>
        <m:r>
          <m:rPr>
            <m:sty m:val="p"/>
          </m:rPr>
          <m:t>.</m:t>
        </m:r>
        <m:r>
          <m:t>L</m:t>
        </m:r>
        <m:r>
          <m:t>a</m:t>
        </m:r>
        <m:r>
          <m:t>s</m:t>
        </m:r>
        <m:r>
          <m:t>t</m:t>
        </m:r>
        <m:r>
          <m:t>y</m:t>
        </m:r>
        <m:r>
          <m:t>e</m:t>
        </m:r>
        <m:r>
          <m:t>a</m:t>
        </m:r>
        <m:r>
          <m:t>r</m:t>
        </m:r>
        <m:r>
          <m:t>b</m:t>
        </m:r>
        <m:r>
          <m:t>a</m:t>
        </m:r>
        <m:r>
          <m:t>c</m:t>
        </m:r>
        <m:r>
          <m:t>k</m:t>
        </m:r>
        <m:r>
          <m:t>l</m:t>
        </m:r>
        <m:r>
          <m:t>o</m:t>
        </m:r>
        <m:r>
          <m:t>g</m:t>
        </m:r>
        <m:r>
          <m:t>j</m:t>
        </m:r>
        <m:r>
          <m:t>u</m:t>
        </m:r>
        <m:r>
          <m:t>m</m:t>
        </m:r>
        <m:r>
          <m:t>p</m:t>
        </m:r>
        <m:r>
          <m:t>e</m:t>
        </m:r>
        <m:r>
          <m:t>d</m:t>
        </m:r>
        <m:r>
          <m:rPr>
            <m:sty m:val="p"/>
          </m:rPr>
          <m:t>&gt;</m:t>
        </m:r>
      </m:oMath>
      <w:r>
        <w:t xml:space="preserve">1B sequentially into Q2. Any sign of backlog flattening — or continued surge — will drive the narrative on demand durability. Note book-to-bill normalized to ~1.2x in Q1 after several quarters of "massive" bookings, so a decelerating booking cadence would not be alarming on its own but will get scrutiny.</w:t>
      </w:r>
    </w:p>
    <w:p>
      <w:pPr>
        <w:pStyle w:val="BodyText"/>
      </w:pPr>
      <w:r>
        <w:rPr>
          <w:b/>
          <w:bCs/>
        </w:rPr>
        <w:t xml:space="preserve">2. Data-center / advanced-tech exposure.</w:t>
      </w:r>
      <w:r>
        <w:t xml:space="preserve"> </w:t>
      </w:r>
      <w:r>
        <w:t xml:space="preserve">Advanced technology (dominated by data centers) rose to</w:t>
      </w:r>
      <w:r>
        <w:t xml:space="preserve"> </w:t>
      </w:r>
      <w:r>
        <w:rPr>
          <w:b/>
          <w:bCs/>
        </w:rPr>
        <w:t xml:space="preserve">56% of revenue</w:t>
      </w:r>
      <w:r>
        <w:t xml:space="preserve">; industrial is</w:t>
      </w:r>
      <w:r>
        <w:t xml:space="preserve"> </w:t>
      </w:r>
      <w:r>
        <w:rPr>
          <w:b/>
          <w:bCs/>
        </w:rPr>
        <w:t xml:space="preserve">75%</w:t>
      </w:r>
      <w:r>
        <w:t xml:space="preserve"> </w:t>
      </w:r>
      <w:r>
        <w:t xml:space="preserve">of the mix. This is the growth engine — and the concentration risk. Management maintains "demand still exceeds supply" and frames the constraint as</w:t>
      </w:r>
      <w:r>
        <w:t xml:space="preserve"> </w:t>
      </w:r>
      <w:r>
        <w:rPr>
          <w:b/>
          <w:bCs/>
        </w:rPr>
        <w:t xml:space="preserve">labor supply, not demand</w:t>
      </w:r>
      <w:r>
        <w:t xml:space="preserve">. Watch for commentary on: hyperscaler capex durability, geographic spread (Texas is the epicenter; Mid-Atlantic, Carolinas, Virginia, Rocky Mountain states hot), and any state-level data-center/power restrictions (management currently sees no material impact to its geographies).</w:t>
      </w:r>
    </w:p>
    <w:p>
      <w:pPr>
        <w:pStyle w:val="BodyText"/>
      </w:pPr>
      <w:r>
        <w:rPr>
          <w:b/>
          <w:bCs/>
        </w:rPr>
        <w:t xml:space="preserve">3. Same-store organic growth vs. the full-year guide.</w:t>
      </w:r>
      <w:r>
        <w:t xml:space="preserve"> </w:t>
      </w:r>
      <w:r>
        <w:t xml:space="preserve">Management guided FY26 same-store revenue growth to the</w:t>
      </w:r>
      <w:r>
        <w:t xml:space="preserve"> </w:t>
      </w:r>
      <w:r>
        <w:rPr>
          <w:b/>
          <w:bCs/>
        </w:rPr>
        <w:t xml:space="preserve">mid-to-high 20% range</w:t>
      </w:r>
      <w:r>
        <w:t xml:space="preserve">, explicitly flagging</w:t>
      </w:r>
      <w:r>
        <w:t xml:space="preserve"> </w:t>
      </w:r>
      <w:r>
        <w:rPr>
          <w:b/>
          <w:bCs/>
        </w:rPr>
        <w:t xml:space="preserve">tougher H2 comps</w:t>
      </w:r>
      <w:r>
        <w:t xml:space="preserve">. Q2 organic growth should still be strong (comps get hard mainly in H2). Watch whether they raise/refine this guide — a step-up would be a clear positive catalyst.</w:t>
      </w:r>
    </w:p>
    <w:p>
      <w:pPr>
        <w:pStyle w:val="BodyText"/>
      </w:pPr>
      <w:r>
        <w:rPr>
          <w:b/>
          <w:bCs/>
        </w:rPr>
        <w:t xml:space="preserve">4. Margin sustainability.</w:t>
      </w:r>
      <w:r>
        <w:t xml:space="preserve"> </w:t>
      </w:r>
      <w:r>
        <w:t xml:space="preserve">Gross margin has climbed structurally (more repeatable, self-selected work; modular; disciplined bid selection). The key question: can they hold ~25%+ gross margins with SG&amp;A leverage as revenue scales? Q1 operating margin of 17% is a high-water mark.</w:t>
      </w:r>
    </w:p>
    <w:p>
      <w:pPr>
        <w:pStyle w:val="BodyText"/>
      </w:pPr>
      <w:r>
        <w:rPr>
          <w:b/>
          <w:bCs/>
        </w:rPr>
        <w:t xml:space="preserve">5. Cash flow &amp; capital deployment.</w:t>
      </w:r>
      <w:r>
        <w:t xml:space="preserve"> </w:t>
      </w:r>
      <w:r>
        <w:t xml:space="preserve">Q1 FCF was</w:t>
      </w:r>
      <w:r>
        <w:t xml:space="preserve"> </w:t>
      </w:r>
      <m:oMath>
        <m:r>
          <m:t>242</m:t>
        </m:r>
        <m:r>
          <m:t>M</m:t>
        </m:r>
        <m:r>
          <m:t>w</m:t>
        </m:r>
        <m:r>
          <m:t>i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C</m:t>
        </m:r>
        <m:r>
          <m:t>a</m:t>
        </m:r>
        <m:r>
          <m:t>p</m:t>
        </m:r>
        <m:r>
          <m:t>E</m:t>
        </m:r>
        <m:r>
          <m:t>x</m:t>
        </m:r>
        <m:r>
          <m:t>u</m:t>
        </m:r>
        <m:r>
          <m:t>p</m:t>
        </m:r>
        <m:r>
          <m:t>t</m:t>
        </m:r>
        <m:r>
          <m:t>o</m:t>
        </m:r>
        <m:r>
          <m:t> </m:t>
        </m:r>
        <m:r>
          <m:t>5</m:t>
        </m:r>
      </m:oMath>
      <w:r>
        <w:t xml:space="preserve">1.05B cash, ~</w:t>
      </w:r>
      <m:oMath>
        <m:r>
          <m:t>39</m:t>
        </m:r>
        <m:r>
          <m:t>M</m:t>
        </m:r>
        <m:r>
          <m:t>l</m:t>
        </m:r>
        <m:r>
          <m:t>o</m:t>
        </m:r>
        <m:r>
          <m:t>n</m:t>
        </m:r>
        <m:r>
          <m:t>g</m:t>
        </m:r>
        <m:r>
          <m:rPr>
            <m:sty m:val="p"/>
          </m:rPr>
          <m:t>−</m:t>
        </m:r>
        <m:r>
          <m:t>t</m:t>
        </m:r>
        <m:r>
          <m:t>e</m:t>
        </m:r>
        <m:r>
          <m:t>r</m:t>
        </m:r>
        <m:r>
          <m:t>m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w</m:t>
        </m:r>
        <m:r>
          <m:t>a</m:t>
        </m:r>
        <m:r>
          <m:t>s</m:t>
        </m:r>
        <m:r>
          <m:t>r</m:t>
        </m:r>
        <m:r>
          <m:t>a</m:t>
        </m:r>
        <m:r>
          <m:t>i</m:t>
        </m:r>
        <m:r>
          <m:t>s</m:t>
        </m:r>
        <m:r>
          <m:t>e</m:t>
        </m:r>
        <m:r>
          <m:t>d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0.80/quarter**. Modular ran 17% of revenue, targeting</w:t>
      </w:r>
      <w:r>
        <w:t xml:space="preserve"> </w:t>
      </w:r>
      <w:r>
        <w:rPr>
          <w:b/>
          <w:bCs/>
        </w:rPr>
        <w:t xml:space="preserve">4M sq ft of capacity by year-end 2026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3"/>
    <w:bookmarkStart w:id="14" w:name="stock--valuation-context"/>
    <w:p>
      <w:pPr>
        <w:pStyle w:val="Heading2"/>
      </w:pPr>
      <w:r>
        <w:t xml:space="preserve">Stock / valuation context</w:t>
      </w:r>
    </w:p>
    <w:p>
      <w:pPr>
        <w:pStyle w:val="FirstParagraph"/>
      </w:pPr>
      <w:r>
        <w:t xml:space="preserve">FIX has been a monster performer. It began 2026near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004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1,791</w:t>
      </w:r>
      <w:r>
        <w:t xml:space="preserve"> </w:t>
      </w:r>
      <w:r>
        <w:t xml:space="preserve">on July 22 — roughly</w:t>
      </w:r>
      <w:r>
        <w:t xml:space="preserve"> </w:t>
      </w:r>
      <w:r>
        <w:rPr>
          <w:b/>
          <w:bCs/>
        </w:rPr>
        <w:t xml:space="preserve">+78% YTD</w:t>
      </w:r>
      <w:r>
        <w:t xml:space="preserve"> </w:t>
      </w:r>
      <w:r>
        <w:t xml:space="preserve">— after peaking around</w:t>
      </w:r>
      <w:r>
        <w:t xml:space="preserve"> </w:t>
      </w:r>
      <w:r>
        <w:rPr>
          <w:b/>
          <w:bCs/>
        </w:rPr>
        <w:t xml:space="preserve">$2,066</w:t>
      </w:r>
      <w:r>
        <w:t xml:space="preserve"> </w:t>
      </w:r>
      <w:r>
        <w:t xml:space="preserve">in late June and pulling back ~13% into the print. On valuation,</w:t>
      </w:r>
      <w:r>
        <w:t xml:space="preserve"> </w:t>
      </w:r>
      <w:r>
        <w:t xml:space="preserve">despite a strong 83.4% YTD surge, the stock faces valuation concerns, trading at a premium 35.3x forward</w:t>
      </w:r>
      <w:r>
        <w:t xml:space="preserve"> </w:t>
      </w:r>
      <w:r>
        <w:t xml:space="preserve">earnings.</w:t>
      </w:r>
    </w:p>
    <w:p>
      <w:pPr>
        <w:pStyle w:val="BodyText"/>
      </w:pPr>
      <w:r>
        <w:rPr>
          <w:b/>
          <w:bCs/>
        </w:rPr>
        <w:t xml:space="preserve">Implication:</w:t>
      </w:r>
      <w:r>
        <w:t xml:space="preserve"> </w:t>
      </w:r>
      <w:r>
        <w:t xml:space="preserve">Expectations and multiple are both elevated. A simple beat may not be enough; the market will likely need reassurance on</w:t>
      </w:r>
      <w:r>
        <w:t xml:space="preserve"> </w:t>
      </w:r>
      <w:r>
        <w:rPr>
          <w:b/>
          <w:bCs/>
        </w:rPr>
        <w:t xml:space="preserve">backlog momentum, margin durability, and the FY guide</w:t>
      </w:r>
      <w:r>
        <w:t xml:space="preserve"> </w:t>
      </w:r>
      <w:r>
        <w:t xml:space="preserve">to justify further upside. Given the June-to-July pullback, sentiment is somewhat cautious heading in.</w:t>
      </w:r>
    </w:p>
    <w:p>
      <w:r>
        <w:pict>
          <v:rect style="width:0;height:1.5pt" o:hralign="center" o:hrstd="t" o:hr="t"/>
        </w:pict>
      </w:r>
    </w:p>
    <w:bookmarkEnd w:id="14"/>
    <w:bookmarkStart w:id="15" w:name="bull-vs-bear-into-the-print"/>
    <w:p>
      <w:pPr>
        <w:pStyle w:val="Heading2"/>
      </w:pPr>
      <w:r>
        <w:t xml:space="preserve">Bull vs. bear into the print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Bull case</w:t>
            </w:r>
          </w:p>
        </w:tc>
        <w:tc>
          <w:tcPr/>
          <w:p>
            <w:pPr>
              <w:pStyle w:val="Compact"/>
            </w:pPr>
            <w:r>
              <w:t xml:space="preserve">Bear case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Demand</w:t>
            </w:r>
          </w:p>
        </w:tc>
        <w:tc>
          <w:tcPr/>
          <w:p>
            <w:pPr>
              <w:pStyle w:val="Compact"/>
            </w:pPr>
            <w:r>
              <w:t xml:space="preserve">Data-center pipeline still exceeds capacity; backlog at record</w:t>
            </w:r>
          </w:p>
        </w:tc>
        <w:tc>
          <w:tcPr/>
          <w:p>
            <w:pPr>
              <w:pStyle w:val="Compact"/>
            </w:pPr>
            <w:r>
              <w:t xml:space="preserve">Growth is supply-constrained by labor; hard to accelerate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Margins</w:t>
            </w:r>
          </w:p>
        </w:tc>
        <w:tc>
          <w:tcPr/>
          <w:p>
            <w:pPr>
              <w:pStyle w:val="Compact"/>
            </w:pPr>
            <w:r>
              <w:t xml:space="preserve">Structural mix shift + modular sustains 25%+ GM</w:t>
            </w:r>
          </w:p>
        </w:tc>
        <w:tc>
          <w:tcPr/>
          <w:p>
            <w:pPr>
              <w:pStyle w:val="Compact"/>
            </w:pPr>
            <w:r>
              <w:t xml:space="preserve">Q1 GM flattered by $43M one-timer; tough to lap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Growth</w:t>
            </w:r>
          </w:p>
        </w:tc>
        <w:tc>
          <w:tcPr/>
          <w:p>
            <w:pPr>
              <w:pStyle w:val="Compact"/>
            </w:pPr>
            <w:r>
              <w:t xml:space="preserve">Could beat/raise the mid-to-high-20s same-store guide</w:t>
            </w:r>
          </w:p>
        </w:tc>
        <w:tc>
          <w:tcPr/>
          <w:p>
            <w:pPr>
              <w:pStyle w:val="Compact"/>
            </w:pPr>
            <w:r>
              <w:t xml:space="preserve">H2 comps get much harder; law of large numbers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Valuation</w:t>
            </w:r>
          </w:p>
        </w:tc>
        <w:tc>
          <w:tcPr/>
          <w:p>
            <w:pPr>
              <w:pStyle w:val="Compact"/>
            </w:pPr>
            <w:r>
              <w:t xml:space="preserve">Best-in-class execution, net-cash balance sheet</w:t>
            </w:r>
          </w:p>
        </w:tc>
        <w:tc>
          <w:tcPr/>
          <w:p>
            <w:pPr>
              <w:pStyle w:val="Compact"/>
            </w:pPr>
            <w:r>
              <w:t xml:space="preserve">~35x forward leaves little room for a miss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Concentration</w:t>
            </w:r>
          </w:p>
        </w:tc>
        <w:tc>
          <w:tcPr/>
          <w:p>
            <w:pPr>
              <w:pStyle w:val="Compact"/>
            </w:pPr>
            <w:r>
              <w:t xml:space="preserve">Diversified geographies, traveling workforce</w:t>
            </w:r>
          </w:p>
        </w:tc>
        <w:tc>
          <w:tcPr/>
          <w:p>
            <w:pPr>
              <w:pStyle w:val="Compact"/>
            </w:pPr>
            <w:r>
              <w:t xml:space="preserve">~56% advanced tech = hyperscaler capex dependence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Start w:id="1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fundamental story is exceptionally strong: record backlog, peak margins, net cash, rising dividend, and unrelenting data-center demand. The risk is entirely in</w:t>
      </w:r>
      <w:r>
        <w:t xml:space="preserve"> </w:t>
      </w:r>
      <w:r>
        <w:rPr>
          <w:b/>
          <w:bCs/>
        </w:rPr>
        <w:t xml:space="preserve">expectations</w:t>
      </w:r>
      <w:r>
        <w:t xml:space="preserve"> </w:t>
      </w:r>
      <w:r>
        <w:t xml:space="preserve">— a stock up ~80% YTD at ~35x forward earnings needs to see the</w:t>
      </w:r>
      <w:r>
        <w:t xml:space="preserve"> </w:t>
      </w:r>
      <w:r>
        <w:rPr>
          <w:b/>
          <w:bCs/>
        </w:rPr>
        <w:t xml:space="preserve">backlog stay near records, core (ex-one-time) gross margins hold in the mid-25s, and management sound confident (or raise) on the full-year growth outlook</w:t>
      </w:r>
      <w:r>
        <w:t xml:space="preserve">. The most important disclosures to read first:</w:t>
      </w:r>
      <w:r>
        <w:t xml:space="preserve"> </w:t>
      </w:r>
      <w:r>
        <w:rPr>
          <w:b/>
          <w:bCs/>
        </w:rPr>
        <w:t xml:space="preserve">quarter-end backlog (same-store), any called-out one-time margin items, the organic vs. acquired revenue split, and any change to the FY26 same-store growth commentary.</w:t>
      </w:r>
    </w:p>
    <w:p>
      <w:pPr>
        <w:pStyle w:val="BodyText"/>
      </w:pPr>
      <w:r>
        <w:rPr>
          <w:i/>
          <w:iCs/>
        </w:rPr>
        <w:t xml:space="preserve">Note: I was unable to find fresh company-specific news in the days immediately preceding the report, so this preview is built from FIX's Q1 2026 results/call, the year-ago Q2, current Street estimates, and price action.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2026-07-23T01:11:25Z</dcterms:created>
  <dcterms:modified xsi:type="dcterms:W3CDTF">2026-07-23T01:11:25Z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