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0bd402c799573474a9d8b2da86905955b89c55a"/>
    <w:p>
      <w:pPr>
        <w:pStyle w:val="Heading1"/>
      </w:pPr>
      <w:r>
        <w:t xml:space="preserve">Comfort Systems USA (FIX) — Q2 2026 Earnings Preview</w:t>
      </w:r>
    </w:p>
    <w:p>
      <w:pPr>
        <w:pStyle w:val="FirstParagraph"/>
      </w:pPr>
      <w:r>
        <w:rPr>
          <w:b/>
          <w:bCs/>
        </w:rPr>
        <w:t xml:space="preserve">Reports: Thursday, July 23, 2026, after market close | Call: Friday, July 24</w:t>
      </w:r>
    </w:p>
    <w:p>
      <w:r>
        <w:pict>
          <v:rect style="width:0;height:1.5pt" o:hralign="center" o:hrstd="t" o:hr="t"/>
        </w:pict>
      </w:r>
    </w:p>
    <w:bookmarkStart w:id="9" w:name="setup-into-the-print"/>
    <w:p>
      <w:pPr>
        <w:pStyle w:val="Heading2"/>
      </w:pPr>
      <w:r>
        <w:t xml:space="preserve">Setup Into the Print</w:t>
      </w:r>
    </w:p>
    <w:p>
      <w:pPr>
        <w:pStyle w:val="FirstParagraph"/>
      </w:pPr>
      <w:r>
        <w:t xml:space="preserve">Comfort Systems has been one of the standout industrial/AI-infrastructure stories of the last two years, riding a wave of hyperscale data center construction demand for its mechanical and electrical contracting services. The stock has been on an extraordinary run — from roughly $532 a year ago to around $1,791 heading into this print, though it has pulled back meaningfully (~13%) from its June 22 high near $2,066 amid valuation jitters, an analyst downgrade, and a leadership reshuffle. Expectations are elevated, and the market's reaction will likely hinge less on the headline beat (FIX has topped estimates for years running) and more on</w:t>
      </w:r>
      <w:r>
        <w:t xml:space="preserve"> </w:t>
      </w:r>
      <w:r>
        <w:rPr>
          <w:b/>
          <w:bCs/>
        </w:rPr>
        <w:t xml:space="preserve">forward guidance, margin durability, and backlog/bookings trends</w:t>
      </w:r>
      <w:r>
        <w:t xml:space="preserve">.</w:t>
      </w:r>
    </w:p>
    <w:bookmarkEnd w:id="9"/>
    <w:bookmarkStart w:id="10" w:name="what-wall-street-expects"/>
    <w:p>
      <w:pPr>
        <w:pStyle w:val="Heading2"/>
      </w:pPr>
      <w:r>
        <w:t xml:space="preserve">What Wall Street Expects</w:t>
      </w:r>
    </w:p>
    <w:p>
      <w:pPr>
        <w:pStyle w:val="FirstParagraph"/>
      </w:pPr>
      <w:r>
        <w:t xml:space="preserve">Consensus calls for</w:t>
      </w:r>
      <w:r>
        <w:t xml:space="preserve"> </w:t>
      </w:r>
      <w:r>
        <w:rPr>
          <w:b/>
          <w:bCs/>
        </w:rPr>
        <w:t xml:space="preserve">EPS of roughly</w:t>
      </w:r>
      <w:r>
        <w:rPr>
          <w:b/>
          <w:bCs/>
        </w:rPr>
        <w:t xml:space="preserve"> </w:t>
      </w:r>
      <m:oMath>
        <m:r>
          <m:t>10.38</m:t>
        </m:r>
        <m:r>
          <m:rPr>
            <m:sty m:val="p"/>
          </m:rPr>
          <m:t>–</m:t>
        </m:r>
      </m:oMath>
      <w:r>
        <w:rPr>
          <w:b/>
          <w:bCs/>
        </w:rPr>
        <w:t xml:space="preserve">10.46</w:t>
      </w:r>
      <w:r>
        <w:t xml:space="preserve"> </w:t>
      </w:r>
      <w:r>
        <w:t xml:space="preserve">and</w:t>
      </w:r>
      <w:r>
        <w:t xml:space="preserve"> </w:t>
      </w:r>
      <w:r>
        <w:rPr>
          <w:b/>
          <w:bCs/>
        </w:rPr>
        <w:t xml:space="preserve">revenue of about $2.94 billion</w:t>
      </w:r>
      <w:r>
        <w:t xml:space="preserve">. Comfort Systems is set to report Q2 2026 earnings on July 23, with analysts expecting EPS of $10.38 and revenue of $2.94 billion, which compared to the year-ago quarter, when Comfort Systems generated $6.53 in EPS on $2.17B in revenue, points to a 60.2% increase in earnings per share and a 37.8% jump in revenue.</w:t>
      </w:r>
    </w:p>
    <w:p>
      <w:pPr>
        <w:pStyle w:val="BodyText"/>
      </w:pPr>
      <w:r>
        <w:t xml:space="preserve">FIX has an unblemished beat record recently — in the last reported quarter, the company's earnings and revenues topped the Zacks Consensus Estimate by 46.2% and 18.1%, respectively, and earnings topped the consensus mark in each of the trailing four quarters. That said, this quarter's setup is less clean: the company has an Earnings ESP of 0.00% and currently carries a Zacks Rank of 3, meaning the quant model isn't flashing a high-confidence beat signal this time, even with the historical pattern.</w:t>
      </w:r>
    </w:p>
    <w:bookmarkEnd w:id="10"/>
    <w:bookmarkStart w:id="11" w:name="recap-why-expectations-are-so-high"/>
    <w:p>
      <w:pPr>
        <w:pStyle w:val="Heading2"/>
      </w:pPr>
      <w:r>
        <w:t xml:space="preserve">Recap: Why Expectations Are So High</w:t>
      </w:r>
    </w:p>
    <w:p>
      <w:pPr>
        <w:pStyle w:val="FirstParagraph"/>
      </w:pPr>
      <w:r>
        <w:t xml:space="preserve">The Q1 2026 print (reported April 23) was a blowout and set the bar for this quarter:</w:t>
      </w:r>
    </w:p>
    <w:p>
      <w:pPr>
        <w:pStyle w:val="Compact"/>
        <w:numPr>
          <w:ilvl w:val="0"/>
          <w:numId w:val="1001"/>
        </w:numPr>
      </w:pPr>
      <w:r>
        <w:t xml:space="preserve">Revenue of</w:t>
      </w:r>
      <w:r>
        <w:t xml:space="preserve"> </w:t>
      </w:r>
      <w:r>
        <w:rPr>
          <w:b/>
          <w:bCs/>
        </w:rPr>
        <w:t xml:space="preserve">$2.87 billion</w:t>
      </w:r>
      <w:r>
        <w:t xml:space="preserve">, up 56.8% year-over-year, with same-store revenue growth of 51%.</w:t>
      </w:r>
    </w:p>
    <w:p>
      <w:pPr>
        <w:pStyle w:val="Compact"/>
        <w:numPr>
          <w:ilvl w:val="0"/>
          <w:numId w:val="1001"/>
        </w:numPr>
      </w:pPr>
      <w:r>
        <w:t xml:space="preserve">Net income of</w:t>
      </w:r>
      <w:r>
        <w:t xml:space="preserve"> </w:t>
      </w:r>
      <m:oMath>
        <m:r>
          <m:t>370.4</m:t>
        </m:r>
        <m:r>
          <m:t>m</m:t>
        </m:r>
        <m:r>
          <m:t>i</m:t>
        </m:r>
        <m:r>
          <m:t>l</m:t>
        </m:r>
        <m:r>
          <m:t>l</m:t>
        </m:r>
        <m:r>
          <m:t>i</m:t>
        </m:r>
        <m:r>
          <m:t>o</m:t>
        </m:r>
        <m:r>
          <m:t>n</m:t>
        </m:r>
        <m:r>
          <m:rPr>
            <m:sty m:val="p"/>
          </m:rPr>
          <m:t>*</m:t>
        </m:r>
        <m:r>
          <m:rPr>
            <m:sty m:val="p"/>
          </m:rPr>
          <m:t>*</m:t>
        </m:r>
        <m:r>
          <m:rPr>
            <m:sty m:val="p"/>
          </m:rPr>
          <m:t>,</m:t>
        </m:r>
        <m:r>
          <m:t>o</m:t>
        </m:r>
        <m:r>
          <m:t>r</m:t>
        </m:r>
        <m:r>
          <m:rPr>
            <m:sty m:val="p"/>
          </m:rPr>
          <m:t>*</m:t>
        </m:r>
        <m:r>
          <m:rPr>
            <m:sty m:val="p"/>
          </m:rPr>
          <m:t>*</m:t>
        </m:r>
      </m:oMath>
      <w:r>
        <w:rPr>
          <w:b/>
          <w:bCs/>
        </w:rPr>
        <w:t xml:space="preserve">10.51 per diluted share</w:t>
      </w:r>
      <w:r>
        <w:t xml:space="preserve"> </w:t>
      </w:r>
      <w:r>
        <w:t xml:space="preserve">— more than double the $4.75 EPS from Q1 2025.</w:t>
      </w:r>
    </w:p>
    <w:p>
      <w:pPr>
        <w:pStyle w:val="Compact"/>
        <w:numPr>
          <w:ilvl w:val="0"/>
          <w:numId w:val="1001"/>
        </w:numPr>
      </w:pPr>
      <w:r>
        <w:t xml:space="preserve">Gross margin hit an all-time high of</w:t>
      </w:r>
      <w:r>
        <w:t xml:space="preserve"> </w:t>
      </w:r>
      <w:r>
        <w:rPr>
          <w:b/>
          <w:bCs/>
        </w:rPr>
        <w:t xml:space="preserve">26.3%</w:t>
      </w:r>
      <w:r>
        <w:t xml:space="preserve">, boosted by a</w:t>
      </w:r>
      <w:r>
        <w:t xml:space="preserve"> </w:t>
      </w:r>
      <w:r>
        <w:rPr>
          <w:b/>
          <w:bCs/>
        </w:rPr>
        <w:t xml:space="preserve">$43 million</w:t>
      </w:r>
      <w:r>
        <w:t xml:space="preserve"> </w:t>
      </w:r>
      <w:r>
        <w:t xml:space="preserve">one-time benefit from favorable change-order closeouts on late-stage projects (core margin ex-benefit was ~25.2%, still a very strong level).</w:t>
      </w:r>
    </w:p>
    <w:p>
      <w:pPr>
        <w:pStyle w:val="Compact"/>
        <w:numPr>
          <w:ilvl w:val="0"/>
          <w:numId w:val="1001"/>
        </w:numPr>
      </w:pPr>
      <w:r>
        <w:t xml:space="preserve">Operating margin expanded from 11.4% to 17.0% on gross margin gains and SG&amp;A leverage (SG&amp;A fell to 9.4% of revenue from 10.6%).</w:t>
      </w:r>
    </w:p>
    <w:p>
      <w:pPr>
        <w:pStyle w:val="Compact"/>
        <w:numPr>
          <w:ilvl w:val="0"/>
          <w:numId w:val="1001"/>
        </w:numPr>
      </w:pPr>
      <w:r>
        <w:rPr>
          <w:b/>
          <w:bCs/>
        </w:rPr>
        <w:t xml:space="preserve">Backlog hit a record $12.5 billion</w:t>
      </w:r>
      <w:r>
        <w:t xml:space="preserve">, up roughly $5 billion year-over-year on a same-store basis, with technology/data center demand as the primary driver (advanced technology work was 56% of Q1 revenue).</w:t>
      </w:r>
    </w:p>
    <w:p>
      <w:pPr>
        <w:pStyle w:val="Compact"/>
        <w:numPr>
          <w:ilvl w:val="0"/>
          <w:numId w:val="1001"/>
        </w:numPr>
      </w:pPr>
      <w:r>
        <w:t xml:space="preserve">Management guided full-year 2026 same-store revenue growth to the</w:t>
      </w:r>
      <w:r>
        <w:t xml:space="preserve"> </w:t>
      </w:r>
      <w:r>
        <w:rPr>
          <w:b/>
          <w:bCs/>
        </w:rPr>
        <w:t xml:space="preserve">mid- to high-20% range</w:t>
      </w:r>
      <w:r>
        <w:t xml:space="preserve">, acknowledging tougher comps in the back half of the year, and said gross margins should stay in the "strong ranges" of recent quarters.</w:t>
      </w:r>
    </w:p>
    <w:p>
      <w:pPr>
        <w:pStyle w:val="Compact"/>
        <w:numPr>
          <w:ilvl w:val="0"/>
          <w:numId w:val="1001"/>
        </w:numPr>
      </w:pPr>
      <w:r>
        <w:t xml:space="preserve">The company closed on a new electrical contractor acquisition in early May expected to add roughly</w:t>
      </w:r>
      <w:r>
        <w:t xml:space="preserve"> </w:t>
      </w:r>
      <w:r>
        <w:rPr>
          <w:b/>
          <w:bCs/>
        </w:rPr>
        <w:t xml:space="preserve">$250 million</w:t>
      </w:r>
      <w:r>
        <w:t xml:space="preserve"> </w:t>
      </w:r>
      <w:r>
        <w:t xml:space="preserve">of annualized revenue at 8–10% EBITDA margins, and guided full-year capex to ~5% of revenue as it continues building out modular manufacturing capacity (targeting 4 million square feet by year-end).</w:t>
      </w:r>
    </w:p>
    <w:p>
      <w:pPr>
        <w:pStyle w:val="Compact"/>
        <w:numPr>
          <w:ilvl w:val="0"/>
          <w:numId w:val="1001"/>
        </w:numPr>
      </w:pPr>
      <w:r>
        <w:t xml:space="preserve">Management repeatedly framed the current cycle as a</w:t>
      </w:r>
      <w:r>
        <w:t xml:space="preserve"> </w:t>
      </w:r>
      <w:r>
        <w:rPr>
          <w:b/>
          <w:bCs/>
        </w:rPr>
        <w:t xml:space="preserve">supply-constrained</w:t>
      </w:r>
      <w:r>
        <w:t xml:space="preserve"> </w:t>
      </w:r>
      <w:r>
        <w:t xml:space="preserve">environment (skilled labor is the binding constraint, not demand), which supports pricing power and margin durability but also caps how fast revenue can realistically grow.</w:t>
      </w:r>
    </w:p>
    <w:bookmarkEnd w:id="11"/>
    <w:bookmarkStart w:id="12" w:name="key-things-to-watch-in-the-q2-report"/>
    <w:p>
      <w:pPr>
        <w:pStyle w:val="Heading2"/>
      </w:pPr>
      <w:r>
        <w:t xml:space="preserve">Key Things to Watch in the Q2 Report</w:t>
      </w:r>
    </w:p>
    <w:p>
      <w:pPr>
        <w:pStyle w:val="Compact"/>
        <w:numPr>
          <w:ilvl w:val="0"/>
          <w:numId w:val="1002"/>
        </w:numPr>
      </w:pPr>
      <w:r>
        <w:rPr>
          <w:b/>
          <w:bCs/>
        </w:rPr>
        <w:t xml:space="preserve">Backlog and book-to-bill.</w:t>
      </w:r>
      <w:r>
        <w:t xml:space="preserve"> </w:t>
      </w:r>
      <w:r>
        <w:t xml:space="preserve">Q1 book-to-bill was a still-solid ~1.2x, but down from the "massively strong" levels of the prior four quarters. Investors will want to see whether bookings reaccelerated in Q2 or whether the moderation is a trend, especially against a $12.5 billion backlog base.</w:t>
      </w:r>
    </w:p>
    <w:p>
      <w:pPr>
        <w:pStyle w:val="Compact"/>
        <w:numPr>
          <w:ilvl w:val="0"/>
          <w:numId w:val="1002"/>
        </w:numPr>
      </w:pPr>
      <w:r>
        <w:rPr>
          <w:b/>
          <w:bCs/>
        </w:rPr>
        <w:t xml:space="preserve">Gross margin sustainability.</w:t>
      </w:r>
      <w:r>
        <w:t xml:space="preserve"> </w:t>
      </w:r>
      <w:r>
        <w:t xml:space="preserve">With a one-time $43 million benefit inflating Q1's headline margin, the market will be watching whether Q2 core gross margin (management guided to "strong ranges averaged over the past several quarters") holds without similar non-recurring items, and whether change-order tailwinds recur.</w:t>
      </w:r>
    </w:p>
    <w:p>
      <w:pPr>
        <w:pStyle w:val="Compact"/>
        <w:numPr>
          <w:ilvl w:val="0"/>
          <w:numId w:val="1002"/>
        </w:numPr>
      </w:pPr>
      <w:r>
        <w:rPr>
          <w:b/>
          <w:bCs/>
        </w:rPr>
        <w:t xml:space="preserve">Same-store revenue growth trajectory.</w:t>
      </w:r>
      <w:r>
        <w:t xml:space="preserve"> </w:t>
      </w:r>
      <w:r>
        <w:t xml:space="preserve">Management's mid-to-high-20s% full-year guide implies deceleration from Q1's 51% pace as comps get tougher in H2 2026 — any signs of guidance being raised, held, or trimmed will move the stock.</w:t>
      </w:r>
    </w:p>
    <w:p>
      <w:pPr>
        <w:pStyle w:val="Compact"/>
        <w:numPr>
          <w:ilvl w:val="0"/>
          <w:numId w:val="1002"/>
        </w:numPr>
      </w:pPr>
      <w:r>
        <w:rPr>
          <w:b/>
          <w:bCs/>
        </w:rPr>
        <w:t xml:space="preserve">Data center / technology exposure.</w:t>
      </w:r>
      <w:r>
        <w:t xml:space="preserve"> </w:t>
      </w:r>
      <w:r>
        <w:t xml:space="preserve">Advanced technology work is now the single largest driver of revenue, pipeline and backlog. Commentary on hyperscaler capex plans, project pacing, and any state-level pushback on data center buildouts (a topic management downplayed last quarter) will be scrutinized.</w:t>
      </w:r>
    </w:p>
    <w:p>
      <w:pPr>
        <w:pStyle w:val="Compact"/>
        <w:numPr>
          <w:ilvl w:val="0"/>
          <w:numId w:val="1002"/>
        </w:numPr>
      </w:pPr>
      <w:r>
        <w:rPr>
          <w:b/>
          <w:bCs/>
        </w:rPr>
        <w:t xml:space="preserve">Electrical acquisition integration and further M&amp;A.</w:t>
      </w:r>
      <w:r>
        <w:t xml:space="preserve"> </w:t>
      </w:r>
      <w:r>
        <w:t xml:space="preserve">Update on the ~$250 million-revenue electrical acquisition that closed in early May, and whether management signals more deals given its strong balance sheet and cash flow.</w:t>
      </w:r>
    </w:p>
    <w:p>
      <w:pPr>
        <w:pStyle w:val="Compact"/>
        <w:numPr>
          <w:ilvl w:val="0"/>
          <w:numId w:val="1002"/>
        </w:numPr>
      </w:pPr>
      <w:r>
        <w:rPr>
          <w:b/>
          <w:bCs/>
        </w:rPr>
        <w:t xml:space="preserve">Leadership transition.</w:t>
      </w:r>
      <w:r>
        <w:t xml:space="preserve"> </w:t>
      </w:r>
      <w:r>
        <w:t xml:space="preserve">Craig Sasser became Chief Operating Officer and Briston Blair became Chief Strategy &amp; Innovation Officer effective July 1, 2026, with Trent McKenna continuing as President. This follows a prior transition where McKenna became President at the start of 2026. Investors will listen for continuity messaging on strategy and capital allocation.</w:t>
      </w:r>
    </w:p>
    <w:p>
      <w:pPr>
        <w:pStyle w:val="Compact"/>
        <w:numPr>
          <w:ilvl w:val="0"/>
          <w:numId w:val="1002"/>
        </w:numPr>
      </w:pPr>
      <w:r>
        <w:rPr>
          <w:b/>
          <w:bCs/>
        </w:rPr>
        <w:t xml:space="preserve">Tax rate and capex.</w:t>
      </w:r>
      <w:r>
        <w:t xml:space="preserve"> </w:t>
      </w:r>
      <w:r>
        <w:t xml:space="preserve">Management guided FY26 effective tax rate to ~23% and capex to ~5% of revenue; any changes here affect free cash flow expectations.</w:t>
      </w:r>
    </w:p>
    <w:bookmarkEnd w:id="12"/>
    <w:bookmarkStart w:id="13" w:name="valuation-and-sentiment-backdrop"/>
    <w:p>
      <w:pPr>
        <w:pStyle w:val="Heading2"/>
      </w:pPr>
      <w:r>
        <w:t xml:space="preserve">Valuation and Sentiment Backdrop</w:t>
      </w:r>
    </w:p>
    <w:p>
      <w:pPr>
        <w:pStyle w:val="FirstParagraph"/>
      </w:pPr>
      <w:r>
        <w:t xml:space="preserve">This is arguably the most important context for how the stock reacts:</w:t>
      </w:r>
    </w:p>
    <w:p>
      <w:pPr>
        <w:pStyle w:val="Compact"/>
        <w:numPr>
          <w:ilvl w:val="0"/>
          <w:numId w:val="1003"/>
        </w:numPr>
      </w:pPr>
      <w:r>
        <w:t xml:space="preserve">FIX stock has surged 83.4% year to date, outperforming the Zacks Building Products - Air Conditioner and Heating industry, the Construction sector and the S&amp;P 500 Index, and despite that surge, the stock faces valuation concerns, trading at a premium 35.3x forward earnings.</w:t>
      </w:r>
    </w:p>
    <w:p>
      <w:pPr>
        <w:pStyle w:val="Compact"/>
        <w:numPr>
          <w:ilvl w:val="0"/>
          <w:numId w:val="1003"/>
        </w:numPr>
      </w:pPr>
      <w:r>
        <w:t xml:space="preserve">The stock has cooled off since its June peak. The stock had already suffered sharp single-day drops of 6.6% and 6.1% on July 2 and July 7 respectively, suggesting the market has been in the process of repricing the premium multiple even before a mid-July downgrade.</w:t>
      </w:r>
    </w:p>
    <w:p>
      <w:pPr>
        <w:pStyle w:val="Compact"/>
        <w:numPr>
          <w:ilvl w:val="0"/>
          <w:numId w:val="1003"/>
        </w:numPr>
      </w:pPr>
      <w:r>
        <w:t xml:space="preserve">On July 15, Erste Group analyst Hans Engel downgraded Comfort Systems USA from Buy to Hold, adding to valuation-driven selling pressure.</w:t>
      </w:r>
    </w:p>
    <w:p>
      <w:pPr>
        <w:pStyle w:val="Compact"/>
        <w:numPr>
          <w:ilvl w:val="0"/>
          <w:numId w:val="1003"/>
        </w:numPr>
      </w:pPr>
      <w:r>
        <w:t xml:space="preserve">Insider activity has also drawn scrutiny: over the three months through late June, Comfort Systems insiders sold roughly $47 million in stock with no recorded purchases.</w:t>
      </w:r>
    </w:p>
    <w:p>
      <w:pPr>
        <w:pStyle w:val="Compact"/>
        <w:numPr>
          <w:ilvl w:val="0"/>
          <w:numId w:val="1003"/>
        </w:numPr>
      </w:pPr>
      <w:r>
        <w:t xml:space="preserve">Sell-side is still broadly bullish on the underlying business, though. On June 8, UBS raised its price target on Comfort Systems USA to $2,125 from $1,992 and maintained a Buy rating after meeting with management, noting company comments suggest its demand backdrop remains robust, led by data centers, with opportunities in other markets like semiconductors, healthcare, and education. Average analyst price targets currently cluster in the roughly</w:t>
      </w:r>
      <w:r>
        <w:t xml:space="preserve"> </w:t>
      </w:r>
      <m:oMath>
        <m:r>
          <m:t>1</m:t>
        </m:r>
        <m:r>
          <m:rPr>
            <m:sty m:val="p"/>
          </m:rPr>
          <m:t>,</m:t>
        </m:r>
        <m:r>
          <m:t>990</m:t>
        </m:r>
        <m:r>
          <m:rPr>
            <m:sty m:val="p"/>
          </m:rPr>
          <m:t>–</m:t>
        </m:r>
      </m:oMath>
      <w:r>
        <w:t xml:space="preserve">2,080 range, implying modest upside from current levels even after the recent pullback — but that spread (from an $2,125 bull case to a fresh Hold downgrade) underscores how contentious the valuation debate has become after the stock's multi-year re-rating.</w:t>
      </w:r>
    </w:p>
    <w:bookmarkEnd w:id="13"/>
    <w:bookmarkStart w:id="14" w:name="bottom-line"/>
    <w:p>
      <w:pPr>
        <w:pStyle w:val="Heading2"/>
      </w:pPr>
      <w:r>
        <w:t xml:space="preserve">Bottom Line</w:t>
      </w:r>
    </w:p>
    <w:p>
      <w:pPr>
        <w:pStyle w:val="FirstParagraph"/>
      </w:pPr>
      <w:r>
        <w:t xml:space="preserve">Comfort Systems goes into Thursday's report with a track record of beating and raising, a record backlog, and a still-favorable secular backdrop tied to AI/data-center infrastructure buildouts. The operative risk for this print isn't really "will they miss" — it's whether</w:t>
      </w:r>
      <w:r>
        <w:t xml:space="preserve"> </w:t>
      </w:r>
      <w:r>
        <w:rPr>
          <w:b/>
          <w:bCs/>
        </w:rPr>
        <w:t xml:space="preserve">guidance and margin commentary can justify a stock trading at a rich multiple after a historic run</w:t>
      </w:r>
      <w:r>
        <w:t xml:space="preserve">, especially with growth comps getting harder in the back half of 2026, some early signs of book-to-bill normalizing, a recent leadership shuffle, and notable insider selling. A clean beat-and-raise with reassurance on core (ex-one-time-item) gross margins and backlog conversion would likely be needed to reverse the recent multiple compression; anything perceived as decelerating bookings or margin normalization could extend the pullback given how much good news is already priced in.</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2026-07-23T01:13:00Z</dcterms:created>
  <dcterms:modified xsi:type="dcterms:W3CDTF">2026-07-23T01:13:00Z</dcterms:modified>
</cp:coreProperties>
</file>

<file path=docProps/custom.xml><?xml version="1.0" encoding="utf-8"?>
<Properties xmlns="http://schemas.openxmlformats.org/officeDocument/2006/custom-properties" xmlns:vt="http://schemas.openxmlformats.org/officeDocument/2006/docPropsVTypes"/>
</file>