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x-earnings-predictions--2026-07-23"/>
    <w:p>
      <w:pPr>
        <w:pStyle w:val="Heading1"/>
      </w:pPr>
      <w:r>
        <w:t xml:space="preserve">FIX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~$3.16B vs. cons $2.99B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~$10.80 vs. cons $10.45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ending backlog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13.1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~$12.1B vs. cons $12.04B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revenue growth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~29% vs. cons ~30%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Gross-margin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~25.0% vs. cons ~25.6%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Q2 EPS beat of ~$10.80 vs.</w:t>
            </w:r>
            <w:r>
              <w:t xml:space="preserve"> </w:t>
            </w:r>
            <m:oMath>
              <m:r>
                <m:t>10.45</m:t>
              </m:r>
              <m:r>
                <m:t>a</m:t>
              </m:r>
              <m:r>
                <m:t>n</m:t>
              </m:r>
              <m:r>
                <m:t>d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l</m:t>
              </m:r>
              <m:r>
                <m:t>o</m:t>
              </m:r>
              <m:r>
                <m:t>g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13.1B vs. ~$12.7B should support the initial reaction, but FY2026 same-store growth of ~29% vs. ~30% expected and 2H gross margin of ~25.0% vs. ~25.6% expected imply limited out-period estimate upside, causing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2026-07-23T01:13:55Z</dcterms:created>
  <dcterms:modified xsi:type="dcterms:W3CDTF">2026-07-23T01:13:55Z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