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f8573f56538b9c7665381fc888d8b75d4c1f5dc"/>
    <w:p>
      <w:pPr>
        <w:pStyle w:val="Heading1"/>
      </w:pPr>
      <w:r>
        <w:t xml:space="preserve">Comfort Systems USA (NYSE: FIX) — Q2 2026 Earnings Preview</w:t>
      </w:r>
    </w:p>
    <w:p>
      <w:pPr>
        <w:pStyle w:val="BlockText"/>
      </w:pPr>
      <w:r>
        <w:rPr>
          <w:b/>
          <w:bCs/>
        </w:rPr>
        <w:t xml:space="preserve">Timing clarification:</w:t>
      </w:r>
      <w:r>
        <w:t xml:space="preserve"> </w:t>
      </w:r>
      <w:r>
        <w:t xml:space="preserve">Comfort Systems will release Q2 results</w:t>
      </w:r>
      <w:r>
        <w:t xml:space="preserve"> </w:t>
      </w:r>
      <w:r>
        <w:rPr>
          <w:b/>
          <w:bCs/>
        </w:rPr>
        <w:t xml:space="preserve">after the market closes today, Thursday, July 23, 2026</w:t>
      </w:r>
      <w:r>
        <w:t xml:space="preserve">. The earnings call is</w:t>
      </w:r>
      <w:r>
        <w:t xml:space="preserve"> </w:t>
      </w:r>
      <w:r>
        <w:rPr>
          <w:b/>
          <w:bCs/>
        </w:rPr>
        <w:t xml:space="preserve">tomorrow, Friday, July 24, at 11:00 a.m. Eastern / 10:00 a.m. Central</w:t>
      </w:r>
      <w:r>
        <w:t xml:space="preserve">. (</w:t>
      </w:r>
      <w:hyperlink r:id="rId9">
        <w:r>
          <w:rPr>
            <w:rStyle w:val="Hyperlink"/>
          </w:rPr>
          <w:t xml:space="preserve">investors.comfortsystemsusa.com</w:t>
        </w:r>
      </w:hyperlink>
      <w:r>
        <w:t xml:space="preserve">)</w:t>
      </w:r>
    </w:p>
    <w:bookmarkStart w:id="12" w:name="investment-setup"/>
    <w:p>
      <w:pPr>
        <w:pStyle w:val="Heading2"/>
      </w:pPr>
      <w:r>
        <w:t xml:space="preserve">Investment setup</w:t>
      </w:r>
    </w:p>
    <w:p>
      <w:pPr>
        <w:pStyle w:val="FirstParagraph"/>
      </w:pPr>
      <w:r>
        <w:t xml:space="preserve">FIX enters earnings with exceptional operating momentum—and an exceptionally demanding valuation.</w:t>
      </w:r>
    </w:p>
    <w:p>
      <w:pPr>
        <w:pStyle w:val="BodyText"/>
      </w:pPr>
      <w:r>
        <w:t xml:space="preserve">The core thesis is straightforward: Comfort Systems has become one of the largest public-market beneficiaries of the U.S. data-center construction boom. Its mechanical, electrical, plumbing, and modular capabilities are being deployed into projects that require substantial power and cooling infrastructure. In Q1, technology customers represented</w:t>
      </w:r>
      <w:r>
        <w:t xml:space="preserve"> </w:t>
      </w:r>
      <w:r>
        <w:rPr>
          <w:b/>
          <w:bCs/>
        </w:rPr>
        <w:t xml:space="preserve">56.4% of revenue</w:t>
      </w:r>
      <w:r>
        <w:t xml:space="preserve">, up from 37.0% a year earlier. (</w:t>
      </w:r>
      <w:hyperlink r:id="rId10">
        <w:r>
          <w:rPr>
            <w:rStyle w:val="Hyperlink"/>
          </w:rPr>
          <w:t xml:space="preserve">investors.comfortsystemsusa.com</w:t>
        </w:r>
      </w:hyperlink>
      <w:r>
        <w:t xml:space="preserve">)</w:t>
      </w:r>
    </w:p>
    <w:p>
      <w:pPr>
        <w:pStyle w:val="BodyText"/>
      </w:pPr>
      <w:r>
        <w:t xml:space="preserve">That demand produced extraordinary Q1 results:</w:t>
      </w:r>
    </w:p>
    <w:p>
      <w:pPr>
        <w:pStyle w:val="Compact"/>
        <w:numPr>
          <w:ilvl w:val="0"/>
          <w:numId w:val="1001"/>
        </w:numPr>
      </w:pPr>
      <w:r>
        <w:t xml:space="preserve">Revenue of</w:t>
      </w:r>
      <w:r>
        <w:t xml:space="preserve"> </w:t>
      </w:r>
      <w:r>
        <w:rPr>
          <w:b/>
          <w:bCs/>
        </w:rPr>
        <w:t xml:space="preserve">$2.87 billion</w:t>
      </w:r>
      <w:r>
        <w:t xml:space="preserve">, up 56.5%</w:t>
      </w:r>
    </w:p>
    <w:p>
      <w:pPr>
        <w:pStyle w:val="Compact"/>
        <w:numPr>
          <w:ilvl w:val="0"/>
          <w:numId w:val="1001"/>
        </w:numPr>
      </w:pPr>
      <w:r>
        <w:t xml:space="preserve">Same-store revenue growth of approximately</w:t>
      </w:r>
      <w:r>
        <w:t xml:space="preserve"> </w:t>
      </w:r>
      <w:r>
        <w:rPr>
          <w:b/>
          <w:bCs/>
        </w:rPr>
        <w:t xml:space="preserve">51%</w:t>
      </w:r>
    </w:p>
    <w:p>
      <w:pPr>
        <w:pStyle w:val="Compact"/>
        <w:numPr>
          <w:ilvl w:val="0"/>
          <w:numId w:val="1001"/>
        </w:numPr>
      </w:pPr>
      <w:r>
        <w:t xml:space="preserve">Diluted EPS of</w:t>
      </w:r>
      <w:r>
        <w:t xml:space="preserve"> </w:t>
      </w:r>
      <w:r>
        <w:rPr>
          <w:b/>
          <w:bCs/>
        </w:rPr>
        <w:t xml:space="preserve">$10.51</w:t>
      </w:r>
      <w:r>
        <w:t xml:space="preserve">, versus $4.75</w:t>
      </w:r>
    </w:p>
    <w:p>
      <w:pPr>
        <w:pStyle w:val="Compact"/>
        <w:numPr>
          <w:ilvl w:val="0"/>
          <w:numId w:val="1001"/>
        </w:numPr>
      </w:pPr>
      <w:r>
        <w:t xml:space="preserve">Gross margin of</w:t>
      </w:r>
      <w:r>
        <w:t xml:space="preserve"> </w:t>
      </w:r>
      <w:r>
        <w:rPr>
          <w:b/>
          <w:bCs/>
        </w:rPr>
        <w:t xml:space="preserve">26.3%</w:t>
      </w:r>
      <w:r>
        <w:t xml:space="preserve">, versus 22.0%</w:t>
      </w:r>
    </w:p>
    <w:p>
      <w:pPr>
        <w:pStyle w:val="Compact"/>
        <w:numPr>
          <w:ilvl w:val="0"/>
          <w:numId w:val="1001"/>
        </w:numPr>
      </w:pPr>
      <w:r>
        <w:t xml:space="preserve">Operating margin of</w:t>
      </w:r>
      <w:r>
        <w:t xml:space="preserve"> </w:t>
      </w:r>
      <w:r>
        <w:rPr>
          <w:b/>
          <w:bCs/>
        </w:rPr>
        <w:t xml:space="preserve">17.0%</w:t>
      </w:r>
      <w:r>
        <w:t xml:space="preserve">, versus 11.4%</w:t>
      </w:r>
    </w:p>
    <w:p>
      <w:pPr>
        <w:pStyle w:val="Compact"/>
        <w:numPr>
          <w:ilvl w:val="0"/>
          <w:numId w:val="1001"/>
        </w:numPr>
      </w:pPr>
      <w:r>
        <w:t xml:space="preserve">Backlog of</w:t>
      </w:r>
      <w:r>
        <w:t xml:space="preserve"> </w:t>
      </w:r>
      <w:r>
        <w:rPr>
          <w:b/>
          <w:bCs/>
        </w:rPr>
        <w:t xml:space="preserve">$12.45 billion</w:t>
      </w:r>
      <w:r>
        <w:t xml:space="preserve">, up 81% year over year and 4% sequentially</w:t>
      </w:r>
    </w:p>
    <w:p>
      <w:pPr>
        <w:pStyle w:val="Compact"/>
        <w:numPr>
          <w:ilvl w:val="0"/>
          <w:numId w:val="1001"/>
        </w:numPr>
      </w:pPr>
      <w:r>
        <w:t xml:space="preserve">Operating cash flow of</w:t>
      </w:r>
      <w:r>
        <w:t xml:space="preserve"> </w:t>
      </w:r>
      <w:r>
        <w:rPr>
          <w:b/>
          <w:bCs/>
        </w:rPr>
        <w:t xml:space="preserve">$389 million</w:t>
      </w:r>
      <w:r>
        <w:t xml:space="preserve"> </w:t>
      </w:r>
      <w:r>
        <w:t xml:space="preserve">(</w:t>
      </w:r>
      <w:hyperlink r:id="rId11">
        <w:r>
          <w:rPr>
            <w:rStyle w:val="Hyperlink"/>
          </w:rPr>
          <w:t xml:space="preserve">sec.gov</w:t>
        </w:r>
      </w:hyperlink>
      <w:r>
        <w:t xml:space="preserve">)</w:t>
      </w:r>
    </w:p>
    <w:p>
      <w:pPr>
        <w:pStyle w:val="FirstParagraph"/>
      </w:pPr>
      <w:r>
        <w:t xml:space="preserve">The question for Q2 is therefore not whether business is strong. It is whether revenue growth, margins, bookings, and guidance are strong enough to support expectations embedded in a stock trading at roughly</w:t>
      </w:r>
      <w:r>
        <w:t xml:space="preserve"> </w:t>
      </w:r>
      <w:r>
        <w:rPr>
          <w:b/>
          <w:bCs/>
        </w:rPr>
        <w:t xml:space="preserve">52 times trailing earnings</w:t>
      </w:r>
      <w:r>
        <w:t xml:space="preserve">.</w:t>
      </w:r>
    </w:p>
    <w:p>
      <w:r>
        <w:pict>
          <v:rect style="width:0;height:1.5pt" o:hralign="center" o:hrstd="t" o:hr="t"/>
        </w:pict>
      </w:r>
    </w:p>
    <w:bookmarkEnd w:id="12"/>
    <w:bookmarkStart w:id="14" w:name="consensus-expectations"/>
    <w:p>
      <w:pPr>
        <w:pStyle w:val="Heading2"/>
      </w:pPr>
      <w:r>
        <w:t xml:space="preserve">Consensus expectations</w:t>
      </w:r>
    </w:p>
    <w:p>
      <w:pPr>
        <w:pStyle w:val="FirstParagraph"/>
      </w:pPr>
      <w:r>
        <w:t xml:space="preserve">Third-party estimate aggregators place Q2 consensus at approximately:</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consensus</w:t>
            </w:r>
          </w:p>
        </w:tc>
        <w:tc>
          <w:tcPr/>
          <w:p>
            <w:pPr>
              <w:pStyle w:val="Compact"/>
              <w:jc w:val="right"/>
            </w:pPr>
            <w:r>
              <w:t xml:space="preserve">Q2 2025 actual</w:t>
            </w:r>
          </w:p>
        </w:tc>
        <w:tc>
          <w:tcPr/>
          <w:p>
            <w:pPr>
              <w:pStyle w:val="Compact"/>
              <w:jc w:val="right"/>
            </w:pPr>
            <w:r>
              <w:t xml:space="preserve">Implied growth</w:t>
            </w:r>
          </w:p>
        </w:tc>
      </w:tr>
      <w:tr>
        <w:tc>
          <w:tcPr/>
          <w:p>
            <w:pPr>
              <w:pStyle w:val="Compact"/>
            </w:pPr>
            <w:r>
              <w:t xml:space="preserve">Revenue</w:t>
            </w:r>
          </w:p>
        </w:tc>
        <w:tc>
          <w:tcPr/>
          <w:p>
            <w:pPr>
              <w:pStyle w:val="Compact"/>
              <w:jc w:val="right"/>
            </w:pPr>
            <w:r>
              <w:rPr>
                <w:b/>
                <w:bCs/>
              </w:rPr>
              <w:t xml:space="preserve">$2.99 billion</w:t>
            </w:r>
          </w:p>
        </w:tc>
        <w:tc>
          <w:tcPr/>
          <w:p>
            <w:pPr>
              <w:pStyle w:val="Compact"/>
              <w:jc w:val="right"/>
            </w:pPr>
            <w:r>
              <w:t xml:space="preserve">$2.17 billion</w:t>
            </w:r>
          </w:p>
        </w:tc>
        <w:tc>
          <w:tcPr/>
          <w:p>
            <w:pPr>
              <w:pStyle w:val="Compact"/>
              <w:jc w:val="right"/>
            </w:pPr>
            <w:r>
              <w:rPr>
                <w:b/>
                <w:bCs/>
              </w:rPr>
              <w:t xml:space="preserve">~38%</w:t>
            </w:r>
          </w:p>
        </w:tc>
      </w:tr>
      <w:tr>
        <w:tc>
          <w:tcPr/>
          <w:p>
            <w:pPr>
              <w:pStyle w:val="Compact"/>
            </w:pPr>
            <w:r>
              <w:t xml:space="preserve">Diluted EPS</w:t>
            </w:r>
          </w:p>
        </w:tc>
        <w:tc>
          <w:tcPr/>
          <w:p>
            <w:pPr>
              <w:pStyle w:val="Compact"/>
              <w:jc w:val="right"/>
            </w:pPr>
            <m:oMath>
              <m:r>
                <m:t>10.45</m:t>
              </m:r>
              <m:r>
                <m:rPr>
                  <m:sty m:val="p"/>
                </m:rPr>
                <m:t>–</m:t>
              </m:r>
            </m:oMath>
            <w:r>
              <w:rPr>
                <w:b/>
                <w:bCs/>
              </w:rPr>
              <w:t xml:space="preserve">10.46</w:t>
            </w:r>
          </w:p>
        </w:tc>
        <w:tc>
          <w:tcPr/>
          <w:p>
            <w:pPr>
              <w:pStyle w:val="Compact"/>
              <w:jc w:val="right"/>
            </w:pPr>
            <w:r>
              <w:t xml:space="preserve">$6.53</w:t>
            </w:r>
          </w:p>
        </w:tc>
        <w:tc>
          <w:tcPr/>
          <w:p>
            <w:pPr>
              <w:pStyle w:val="Compact"/>
              <w:jc w:val="right"/>
            </w:pPr>
            <w:r>
              <w:rPr>
                <w:b/>
                <w:bCs/>
              </w:rPr>
              <w:t xml:space="preserve">~60%</w:t>
            </w:r>
          </w:p>
        </w:tc>
      </w:tr>
    </w:tbl>
    <w:p>
      <w:pPr>
        <w:pStyle w:val="BodyText"/>
      </w:pPr>
      <w:r>
        <w:t xml:space="preserve">Estimate providers can differ, but the available snapshots are clustered near those figures. (</w:t>
      </w:r>
      <w:hyperlink r:id="rId13">
        <w:r>
          <w:rPr>
            <w:rStyle w:val="Hyperlink"/>
          </w:rPr>
          <w:t xml:space="preserve">marketbeat.com</w:t>
        </w:r>
      </w:hyperlink>
      <w:r>
        <w:t xml:space="preserve">)</w:t>
      </w:r>
    </w:p>
    <w:p>
      <w:pPr>
        <w:pStyle w:val="BodyText"/>
      </w:pPr>
      <w:r>
        <w:t xml:space="preserve">The sequential assumptions are revealing. Consensus implies only about</w:t>
      </w:r>
      <w:r>
        <w:t xml:space="preserve"> </w:t>
      </w:r>
      <w:r>
        <w:rPr>
          <w:b/>
          <w:bCs/>
        </w:rPr>
        <w:t xml:space="preserve">4% revenue growth from Q1</w:t>
      </w:r>
      <w:r>
        <w:t xml:space="preserve"> </w:t>
      </w:r>
      <w:r>
        <w:t xml:space="preserve">and essentially flat EPS despite the seasonally stronger second quarter. That reflects an important Q1 quality-of-earnings adjustment: Q1 included approximately</w:t>
      </w:r>
      <w:r>
        <w:t xml:space="preserve"> </w:t>
      </w:r>
      <w:r>
        <w:rPr>
          <w:b/>
          <w:bCs/>
        </w:rPr>
        <w:t xml:space="preserve">$43.1 million of favorable late-stage project developments and change orders</w:t>
      </w:r>
      <w:r>
        <w:t xml:space="preserve">. Management said these items were not expected to recur regularly and indicated that gross margin would have been around</w:t>
      </w:r>
      <w:r>
        <w:t xml:space="preserve"> </w:t>
      </w:r>
      <w:r>
        <w:rPr>
          <w:b/>
          <w:bCs/>
        </w:rPr>
        <w:t xml:space="preserve">25.2%</w:t>
      </w:r>
      <w:r>
        <w:t xml:space="preserve"> </w:t>
      </w:r>
      <w:r>
        <w:t xml:space="preserve">without them, rather than the reported 26.3%. (</w:t>
      </w:r>
      <w:hyperlink r:id="rId10">
        <w:r>
          <w:rPr>
            <w:rStyle w:val="Hyperlink"/>
          </w:rPr>
          <w:t xml:space="preserve">investors.comfortsystemsusa.com</w:t>
        </w:r>
      </w:hyperlink>
      <w:r>
        <w:t xml:space="preserve">)</w:t>
      </w:r>
    </w:p>
    <w:p>
      <w:pPr>
        <w:pStyle w:val="BodyText"/>
      </w:pPr>
      <w:r>
        <w:t xml:space="preserve">Thus, the relevant comparison is not simply Q2 versus Q1 reported EPS. Investors should focus on whether</w:t>
      </w:r>
      <w:r>
        <w:t xml:space="preserve"> </w:t>
      </w:r>
      <w:r>
        <w:rPr>
          <w:b/>
          <w:bCs/>
        </w:rPr>
        <w:t xml:space="preserve">underlying gross margin remains near 25%</w:t>
      </w:r>
      <w:r>
        <w:t xml:space="preserve"> </w:t>
      </w:r>
      <w:r>
        <w:t xml:space="preserve">without another unusually large project benefit.</w:t>
      </w:r>
    </w:p>
    <w:p>
      <w:r>
        <w:pict>
          <v:rect style="width:0;height:1.5pt" o:hralign="center" o:hrstd="t" o:hr="t"/>
        </w:pict>
      </w:r>
    </w:p>
    <w:bookmarkEnd w:id="14"/>
    <w:bookmarkStart w:id="20" w:name="the-five-issues-that-matter-most"/>
    <w:p>
      <w:pPr>
        <w:pStyle w:val="Heading2"/>
      </w:pPr>
      <w:r>
        <w:t xml:space="preserve">The five issues that matter most</w:t>
      </w:r>
    </w:p>
    <w:bookmarkStart w:id="15" w:name="Xf0883103264adbedc020b94dda2eb73f727e873"/>
    <w:p>
      <w:pPr>
        <w:pStyle w:val="Heading3"/>
      </w:pPr>
      <w:r>
        <w:t xml:space="preserve">1. Backlog and bookings may matter more than the headline beat</w:t>
      </w:r>
    </w:p>
    <w:p>
      <w:pPr>
        <w:pStyle w:val="FirstParagraph"/>
      </w:pPr>
      <w:r>
        <w:t xml:space="preserve">Q1 backlog reached</w:t>
      </w:r>
      <w:r>
        <w:t xml:space="preserve"> </w:t>
      </w:r>
      <w:r>
        <w:rPr>
          <w:b/>
          <w:bCs/>
        </w:rPr>
        <w:t xml:space="preserve">$12.45 billion</w:t>
      </w:r>
      <w:r>
        <w:t xml:space="preserve">, including $9.59 billion in mechanical and $2.86 billion in electrical work. Management expected to recognize approximately</w:t>
      </w:r>
      <w:r>
        <w:t xml:space="preserve"> </w:t>
      </w:r>
      <w:r>
        <w:rPr>
          <w:b/>
          <w:bCs/>
        </w:rPr>
        <w:t xml:space="preserve">65%–75%</w:t>
      </w:r>
      <w:r>
        <w:t xml:space="preserve"> </w:t>
      </w:r>
      <w:r>
        <w:t xml:space="preserve">of remaining performance obligations over the following 12 months. (</w:t>
      </w:r>
      <w:hyperlink r:id="rId10">
        <w:r>
          <w:rPr>
            <w:rStyle w:val="Hyperlink"/>
          </w:rPr>
          <w:t xml:space="preserve">investors.comfortsystemsusa.com</w:t>
        </w:r>
      </w:hyperlink>
      <w:r>
        <w:t xml:space="preserve">)</w:t>
      </w:r>
    </w:p>
    <w:p>
      <w:pPr>
        <w:pStyle w:val="BodyText"/>
      </w:pPr>
      <w:r>
        <w:t xml:space="preserve">Given FIX’s rapid backlog conversion, a sequential backlog decline would not automatically signal weakening demand. Revenue approaching $3 billion creates a very high quarterly “burn” hurdle. The important questions are:</w:t>
      </w:r>
    </w:p>
    <w:p>
      <w:pPr>
        <w:pStyle w:val="Compact"/>
        <w:numPr>
          <w:ilvl w:val="0"/>
          <w:numId w:val="1002"/>
        </w:numPr>
      </w:pPr>
      <w:r>
        <w:t xml:space="preserve">Did bookings approximately match or exceed revenue?</w:t>
      </w:r>
    </w:p>
    <w:p>
      <w:pPr>
        <w:pStyle w:val="Compact"/>
        <w:numPr>
          <w:ilvl w:val="0"/>
          <w:numId w:val="1002"/>
        </w:numPr>
      </w:pPr>
      <w:r>
        <w:t xml:space="preserve">Was any backlog decline driven by conversion rather than cancellations?</w:t>
      </w:r>
    </w:p>
    <w:p>
      <w:pPr>
        <w:pStyle w:val="Compact"/>
        <w:numPr>
          <w:ilvl w:val="0"/>
          <w:numId w:val="1002"/>
        </w:numPr>
      </w:pPr>
      <w:r>
        <w:t xml:space="preserve">Is the technology pipeline still expanding?</w:t>
      </w:r>
    </w:p>
    <w:p>
      <w:pPr>
        <w:pStyle w:val="Compact"/>
        <w:numPr>
          <w:ilvl w:val="0"/>
          <w:numId w:val="1002"/>
        </w:numPr>
      </w:pPr>
      <w:r>
        <w:t xml:space="preserve">Are customers making multiyear capacity commitments?</w:t>
      </w:r>
    </w:p>
    <w:p>
      <w:pPr>
        <w:pStyle w:val="Compact"/>
        <w:numPr>
          <w:ilvl w:val="0"/>
          <w:numId w:val="1002"/>
        </w:numPr>
      </w:pPr>
      <w:r>
        <w:t xml:space="preserve">Is FIX intentionally declining work because of labor constraints?</w:t>
      </w:r>
    </w:p>
    <w:p>
      <w:pPr>
        <w:pStyle w:val="FirstParagraph"/>
      </w:pPr>
      <w:r>
        <w:t xml:space="preserve">A backlog result above the Q1 level would be highly bullish. A modest decline with strong pipeline commentary would probably be acceptable. A sharp decline combined with delayed projects or weaker data-center awards would challenge the growth narrative.</w:t>
      </w:r>
    </w:p>
    <w:bookmarkEnd w:id="15"/>
    <w:bookmarkStart w:id="16" w:name="Xeff281bdf0a1963a61028468160aa61cdedb8cb"/>
    <w:p>
      <w:pPr>
        <w:pStyle w:val="Heading3"/>
      </w:pPr>
      <w:r>
        <w:t xml:space="preserve">2. Margin durability is the biggest earnings variable</w:t>
      </w:r>
    </w:p>
    <w:p>
      <w:pPr>
        <w:pStyle w:val="FirstParagraph"/>
      </w:pPr>
      <w:r>
        <w:t xml:space="preserve">Q1’s reported gross margin was 26.3%, but approximately 1.1 percentage points came from the identified $43.1 million benefit. Even after adjusting for that item, the underlying margin was still exceptionally strong at roughly 25.2%.</w:t>
      </w:r>
    </w:p>
    <w:p>
      <w:pPr>
        <w:pStyle w:val="BodyText"/>
      </w:pPr>
      <w:r>
        <w:t xml:space="preserve">For Q2, investors should separate:</w:t>
      </w:r>
    </w:p>
    <w:p>
      <w:pPr>
        <w:pStyle w:val="Compact"/>
        <w:numPr>
          <w:ilvl w:val="0"/>
          <w:numId w:val="1003"/>
        </w:numPr>
      </w:pPr>
      <w:r>
        <w:rPr>
          <w:b/>
          <w:bCs/>
        </w:rPr>
        <w:t xml:space="preserve">Recurring execution and pricing</w:t>
      </w:r>
    </w:p>
    <w:p>
      <w:pPr>
        <w:pStyle w:val="Compact"/>
        <w:numPr>
          <w:ilvl w:val="0"/>
          <w:numId w:val="1003"/>
        </w:numPr>
      </w:pPr>
      <w:r>
        <w:rPr>
          <w:b/>
          <w:bCs/>
        </w:rPr>
        <w:t xml:space="preserve">Cumulative project-estimate adjustments</w:t>
      </w:r>
    </w:p>
    <w:p>
      <w:pPr>
        <w:pStyle w:val="Compact"/>
        <w:numPr>
          <w:ilvl w:val="0"/>
          <w:numId w:val="1003"/>
        </w:numPr>
      </w:pPr>
      <w:r>
        <w:rPr>
          <w:b/>
          <w:bCs/>
        </w:rPr>
        <w:t xml:space="preserve">Change-order and closeout benefits</w:t>
      </w:r>
    </w:p>
    <w:p>
      <w:pPr>
        <w:pStyle w:val="Compact"/>
        <w:numPr>
          <w:ilvl w:val="0"/>
          <w:numId w:val="1003"/>
        </w:numPr>
      </w:pPr>
      <w:r>
        <w:rPr>
          <w:b/>
          <w:bCs/>
        </w:rPr>
        <w:t xml:space="preserve">Mix effects from modular, mechanical, and electrical work</w:t>
      </w:r>
    </w:p>
    <w:p>
      <w:pPr>
        <w:pStyle w:val="FirstParagraph"/>
      </w:pPr>
      <w:r>
        <w:t xml:space="preserve">A clean gross margin around</w:t>
      </w:r>
      <w:r>
        <w:t xml:space="preserve"> </w:t>
      </w:r>
      <w:r>
        <w:rPr>
          <w:b/>
          <w:bCs/>
        </w:rPr>
        <w:t xml:space="preserve">25% or better</w:t>
      </w:r>
      <w:r>
        <w:t xml:space="preserve">, combined with SG&amp;A below 10% of revenue, would suggest FIX’s margin expansion is structural rather than merely the product of favorable project accounting.</w:t>
      </w:r>
    </w:p>
    <w:p>
      <w:pPr>
        <w:pStyle w:val="BodyText"/>
      </w:pPr>
      <w:r>
        <w:t xml:space="preserve">Conversely, a reported margin below roughly 24%—absent a clear mix or timing explanation—would raise questions about labor productivity, project complexity, and the profitability of rapidly expanding large-scale data-center work.</w:t>
      </w:r>
    </w:p>
    <w:bookmarkEnd w:id="16"/>
    <w:bookmarkStart w:id="17" w:name="Xea26d3626ad2dd4f6cfa88cba0bb18b2562a1af"/>
    <w:p>
      <w:pPr>
        <w:pStyle w:val="Heading3"/>
      </w:pPr>
      <w:r>
        <w:t xml:space="preserve">3. Data-center demand is both the catalyst and the concentration risk</w:t>
      </w:r>
    </w:p>
    <w:p>
      <w:pPr>
        <w:pStyle w:val="FirstParagraph"/>
      </w:pPr>
      <w:r>
        <w:t xml:space="preserve">Technology accounted for</w:t>
      </w:r>
      <w:r>
        <w:t xml:space="preserve"> </w:t>
      </w:r>
      <w:r>
        <w:rPr>
          <w:b/>
          <w:bCs/>
        </w:rPr>
        <w:t xml:space="preserve">$1.62 billion, or 56.4%, of Q1 revenue</w:t>
      </w:r>
      <w:r>
        <w:t xml:space="preserve">. New construction accounted for nearly three-quarters of revenue, while service calls, maintenance, and monitoring represented just 5.5%. (</w:t>
      </w:r>
      <w:hyperlink r:id="rId10">
        <w:r>
          <w:rPr>
            <w:rStyle w:val="Hyperlink"/>
          </w:rPr>
          <w:t xml:space="preserve">investors.comfortsystemsusa.com</w:t>
        </w:r>
      </w:hyperlink>
      <w:r>
        <w:t xml:space="preserve">)</w:t>
      </w:r>
    </w:p>
    <w:p>
      <w:pPr>
        <w:pStyle w:val="BodyText"/>
      </w:pPr>
      <w:r>
        <w:t xml:space="preserve">The near-term benefits are obvious:</w:t>
      </w:r>
    </w:p>
    <w:p>
      <w:pPr>
        <w:pStyle w:val="Compact"/>
        <w:numPr>
          <w:ilvl w:val="0"/>
          <w:numId w:val="1004"/>
        </w:numPr>
      </w:pPr>
      <w:r>
        <w:t xml:space="preserve">Extraordinary demand for cooling and power infrastructure</w:t>
      </w:r>
    </w:p>
    <w:p>
      <w:pPr>
        <w:pStyle w:val="Compact"/>
        <w:numPr>
          <w:ilvl w:val="0"/>
          <w:numId w:val="1004"/>
        </w:numPr>
      </w:pPr>
      <w:r>
        <w:t xml:space="preserve">Repeat work from sophisticated customers</w:t>
      </w:r>
    </w:p>
    <w:p>
      <w:pPr>
        <w:pStyle w:val="Compact"/>
        <w:numPr>
          <w:ilvl w:val="0"/>
          <w:numId w:val="1004"/>
        </w:numPr>
      </w:pPr>
      <w:r>
        <w:t xml:space="preserve">Better pricing and project selection</w:t>
      </w:r>
    </w:p>
    <w:p>
      <w:pPr>
        <w:pStyle w:val="Compact"/>
        <w:numPr>
          <w:ilvl w:val="0"/>
          <w:numId w:val="1004"/>
        </w:numPr>
      </w:pPr>
      <w:r>
        <w:t xml:space="preserve">Increased use of modular construction</w:t>
      </w:r>
    </w:p>
    <w:p>
      <w:pPr>
        <w:pStyle w:val="Compact"/>
        <w:numPr>
          <w:ilvl w:val="0"/>
          <w:numId w:val="1004"/>
        </w:numPr>
      </w:pPr>
      <w:r>
        <w:t xml:space="preserve">Opportunities to pair mechanical and electrical capabilities</w:t>
      </w:r>
    </w:p>
    <w:p>
      <w:pPr>
        <w:pStyle w:val="FirstParagraph"/>
      </w:pPr>
      <w:r>
        <w:t xml:space="preserve">But the mix is becoming more concentrated in hyperscale capital spending. Investors should listen for commentary on:</w:t>
      </w:r>
    </w:p>
    <w:p>
      <w:pPr>
        <w:pStyle w:val="Compact"/>
        <w:numPr>
          <w:ilvl w:val="0"/>
          <w:numId w:val="1005"/>
        </w:numPr>
      </w:pPr>
      <w:r>
        <w:t xml:space="preserve">Customer concentration</w:t>
      </w:r>
    </w:p>
    <w:p>
      <w:pPr>
        <w:pStyle w:val="Compact"/>
        <w:numPr>
          <w:ilvl w:val="0"/>
          <w:numId w:val="1005"/>
        </w:numPr>
      </w:pPr>
      <w:r>
        <w:t xml:space="preserve">Project timing or power-availability delays</w:t>
      </w:r>
    </w:p>
    <w:p>
      <w:pPr>
        <w:pStyle w:val="Compact"/>
        <w:numPr>
          <w:ilvl w:val="0"/>
          <w:numId w:val="1005"/>
        </w:numPr>
      </w:pPr>
      <w:r>
        <w:t xml:space="preserve">Permitting and community opposition</w:t>
      </w:r>
    </w:p>
    <w:p>
      <w:pPr>
        <w:pStyle w:val="Compact"/>
        <w:numPr>
          <w:ilvl w:val="0"/>
          <w:numId w:val="1005"/>
        </w:numPr>
      </w:pPr>
      <w:r>
        <w:t xml:space="preserve">Customer requests to accelerate or defer construction</w:t>
      </w:r>
    </w:p>
    <w:p>
      <w:pPr>
        <w:pStyle w:val="Compact"/>
        <w:numPr>
          <w:ilvl w:val="0"/>
          <w:numId w:val="1005"/>
        </w:numPr>
      </w:pPr>
      <w:r>
        <w:t xml:space="preserve">The portion of data-center work secured by firm commitments</w:t>
      </w:r>
    </w:p>
    <w:p>
      <w:pPr>
        <w:pStyle w:val="Compact"/>
        <w:numPr>
          <w:ilvl w:val="0"/>
          <w:numId w:val="1005"/>
        </w:numPr>
      </w:pPr>
      <w:r>
        <w:t xml:space="preserve">Whether modular capacity additions are already contracted</w:t>
      </w:r>
    </w:p>
    <w:p>
      <w:pPr>
        <w:pStyle w:val="FirstParagraph"/>
      </w:pPr>
      <w:r>
        <w:t xml:space="preserve">The best outcome would be continued strong technology bookings alongside growth in manufacturing, healthcare, institutional, and service work.</w:t>
      </w:r>
    </w:p>
    <w:bookmarkEnd w:id="17"/>
    <w:bookmarkStart w:id="18" w:name="X5e16554e162c0f4927f40132535cb098f8778b5"/>
    <w:p>
      <w:pPr>
        <w:pStyle w:val="Heading3"/>
      </w:pPr>
      <w:r>
        <w:t xml:space="preserve">4. Labor—not demand—is the principal capacity constraint</w:t>
      </w:r>
    </w:p>
    <w:p>
      <w:pPr>
        <w:pStyle w:val="FirstParagraph"/>
      </w:pPr>
      <w:r>
        <w:t xml:space="preserve">Management said after Q1 that the limiting factor was labor availability rather than customer demand. FIX had expanded its workforce by several thousand people year over year and was recruiting aggressively, but management remained disciplined about accepting only work it could execute properly.</w:t>
      </w:r>
    </w:p>
    <w:p>
      <w:pPr>
        <w:pStyle w:val="BodyText"/>
      </w:pPr>
      <w:r>
        <w:t xml:space="preserve">That discipline is essential. The current valuation assumes FIX can scale without compromising:</w:t>
      </w:r>
    </w:p>
    <w:p>
      <w:pPr>
        <w:pStyle w:val="Compact"/>
        <w:numPr>
          <w:ilvl w:val="0"/>
          <w:numId w:val="1006"/>
        </w:numPr>
      </w:pPr>
      <w:r>
        <w:t xml:space="preserve">Safety</w:t>
      </w:r>
    </w:p>
    <w:p>
      <w:pPr>
        <w:pStyle w:val="Compact"/>
        <w:numPr>
          <w:ilvl w:val="0"/>
          <w:numId w:val="1006"/>
        </w:numPr>
      </w:pPr>
      <w:r>
        <w:t xml:space="preserve">Labor productivity</w:t>
      </w:r>
    </w:p>
    <w:p>
      <w:pPr>
        <w:pStyle w:val="Compact"/>
        <w:numPr>
          <w:ilvl w:val="0"/>
          <w:numId w:val="1006"/>
        </w:numPr>
      </w:pPr>
      <w:r>
        <w:t xml:space="preserve">Project management</w:t>
      </w:r>
    </w:p>
    <w:p>
      <w:pPr>
        <w:pStyle w:val="Compact"/>
        <w:numPr>
          <w:ilvl w:val="0"/>
          <w:numId w:val="1006"/>
        </w:numPr>
      </w:pPr>
      <w:r>
        <w:t xml:space="preserve">Customer service</w:t>
      </w:r>
    </w:p>
    <w:p>
      <w:pPr>
        <w:pStyle w:val="Compact"/>
        <w:numPr>
          <w:ilvl w:val="0"/>
          <w:numId w:val="1006"/>
        </w:numPr>
      </w:pPr>
      <w:r>
        <w:t xml:space="preserve">Fixed-price contract margins</w:t>
      </w:r>
    </w:p>
    <w:p>
      <w:pPr>
        <w:pStyle w:val="FirstParagraph"/>
      </w:pPr>
      <w:r>
        <w:t xml:space="preserve">Headcount growth, wage inflation, overtime, traveling labor, and subcontractor utilization will therefore be important call topics. Rapid revenue growth accompanied by stable or higher core margins would indicate that FIX is successfully converting labor scarcity into pricing power.</w:t>
      </w:r>
    </w:p>
    <w:bookmarkEnd w:id="18"/>
    <w:bookmarkStart w:id="19" w:name="X91d2ef58c2a0c08d676a9e2e11ebd58cace540f"/>
    <w:p>
      <w:pPr>
        <w:pStyle w:val="Heading3"/>
      </w:pPr>
      <w:r>
        <w:t xml:space="preserve">5. Capex and modular economics need to be validated</w:t>
      </w:r>
    </w:p>
    <w:p>
      <w:pPr>
        <w:pStyle w:val="FirstParagraph"/>
      </w:pPr>
      <w:r>
        <w:t xml:space="preserve">FIX spent</w:t>
      </w:r>
      <w:r>
        <w:t xml:space="preserve"> </w:t>
      </w:r>
      <w:r>
        <w:rPr>
          <w:b/>
          <w:bCs/>
        </w:rPr>
        <w:t xml:space="preserve">$147 million on capital expenditures in Q1</w:t>
      </w:r>
      <w:r>
        <w:t xml:space="preserve">, including approximately $103 million for a large Texas building supporting modular operations. Management expected full-year capex to approximate</w:t>
      </w:r>
      <w:r>
        <w:t xml:space="preserve"> </w:t>
      </w:r>
      <w:r>
        <w:rPr>
          <w:b/>
          <w:bCs/>
        </w:rPr>
        <w:t xml:space="preserve">5% of revenue</w:t>
      </w:r>
      <w:r>
        <w:t xml:space="preserve"> </w:t>
      </w:r>
      <w:r>
        <w:t xml:space="preserve">and planned to reach roughly four million square feet of modular capacity by year-end.</w:t>
      </w:r>
    </w:p>
    <w:p>
      <w:pPr>
        <w:pStyle w:val="BodyText"/>
      </w:pPr>
      <w:r>
        <w:t xml:space="preserve">The investment case rests on this being capacity built against durable, preferably multiyear customer demand—not speculative construction at the top of the cycle.</w:t>
      </w:r>
    </w:p>
    <w:p>
      <w:pPr>
        <w:pStyle w:val="BodyText"/>
      </w:pPr>
      <w:r>
        <w:t xml:space="preserve">Investors should seek:</w:t>
      </w:r>
    </w:p>
    <w:p>
      <w:pPr>
        <w:pStyle w:val="Compact"/>
        <w:numPr>
          <w:ilvl w:val="0"/>
          <w:numId w:val="1007"/>
        </w:numPr>
      </w:pPr>
      <w:r>
        <w:t xml:space="preserve">Confirmation of the 2026 capex plan</w:t>
      </w:r>
    </w:p>
    <w:p>
      <w:pPr>
        <w:pStyle w:val="Compact"/>
        <w:numPr>
          <w:ilvl w:val="0"/>
          <w:numId w:val="1007"/>
        </w:numPr>
      </w:pPr>
      <w:r>
        <w:t xml:space="preserve">Utilization and ramp schedules for new facilities</w:t>
      </w:r>
    </w:p>
    <w:p>
      <w:pPr>
        <w:pStyle w:val="Compact"/>
        <w:numPr>
          <w:ilvl w:val="0"/>
          <w:numId w:val="1007"/>
        </w:numPr>
      </w:pPr>
      <w:r>
        <w:t xml:space="preserve">Customer commitments supporting capacity additions</w:t>
      </w:r>
    </w:p>
    <w:p>
      <w:pPr>
        <w:pStyle w:val="Compact"/>
        <w:numPr>
          <w:ilvl w:val="0"/>
          <w:numId w:val="1007"/>
        </w:numPr>
      </w:pPr>
      <w:r>
        <w:t xml:space="preserve">Expected returns on modular investments</w:t>
      </w:r>
    </w:p>
    <w:p>
      <w:pPr>
        <w:pStyle w:val="Compact"/>
        <w:numPr>
          <w:ilvl w:val="0"/>
          <w:numId w:val="1007"/>
        </w:numPr>
      </w:pPr>
      <w:r>
        <w:t xml:space="preserve">Any plans for capacity beyond the four-million-square-foot target</w:t>
      </w:r>
    </w:p>
    <w:p>
      <w:pPr>
        <w:pStyle w:val="Compact"/>
        <w:numPr>
          <w:ilvl w:val="0"/>
          <w:numId w:val="1007"/>
        </w:numPr>
      </w:pPr>
      <w:r>
        <w:t xml:space="preserve">Whether capex will remain elevated in 2027</w:t>
      </w:r>
    </w:p>
    <w:p>
      <w:pPr>
        <w:pStyle w:val="FirstParagraph"/>
      </w:pPr>
      <w:r>
        <w:t xml:space="preserve">Despite heavy Q1 investment, FIX still generated approximately</w:t>
      </w:r>
      <w:r>
        <w:t xml:space="preserve"> </w:t>
      </w:r>
      <w:r>
        <w:rPr>
          <w:b/>
          <w:bCs/>
        </w:rPr>
        <w:t xml:space="preserve">$242 million of free cash flow</w:t>
      </w:r>
      <w:r>
        <w:t xml:space="preserve">, and it ended March with $1.05 billion of cash against only $39 million of debt. The balance sheet provides substantial flexibility. (</w:t>
      </w:r>
      <w:hyperlink r:id="rId11">
        <w:r>
          <w:rPr>
            <w:rStyle w:val="Hyperlink"/>
          </w:rPr>
          <w:t xml:space="preserve">sec.gov</w:t>
        </w:r>
      </w:hyperlink>
      <w:r>
        <w:t xml:space="preserve">)</w:t>
      </w:r>
    </w:p>
    <w:p>
      <w:r>
        <w:pict>
          <v:rect style="width:0;height:1.5pt" o:hralign="center" o:hrstd="t" o:hr="t"/>
        </w:pict>
      </w:r>
    </w:p>
    <w:bookmarkEnd w:id="19"/>
    <w:bookmarkEnd w:id="20"/>
    <w:bookmarkStart w:id="21" w:name="X10cada79ee01d49da2ed557de19c0fdda99eede"/>
    <w:p>
      <w:pPr>
        <w:pStyle w:val="Heading2"/>
      </w:pPr>
      <w:r>
        <w:t xml:space="preserve">Guidance: the hurdle is likely moving higher</w:t>
      </w:r>
    </w:p>
    <w:p>
      <w:pPr>
        <w:pStyle w:val="FirstParagraph"/>
      </w:pPr>
      <w:r>
        <w:t xml:space="preserve">Management’s Q1 outlook called for</w:t>
      </w:r>
      <w:r>
        <w:t xml:space="preserve"> </w:t>
      </w:r>
      <w:r>
        <w:rPr>
          <w:b/>
          <w:bCs/>
        </w:rPr>
        <w:t xml:space="preserve">mid- to high-20% same-store revenue growth for full-year 2026</w:t>
      </w:r>
      <w:r>
        <w:t xml:space="preserve">. Applied to 2025 revenue of</w:t>
      </w:r>
      <w:r>
        <w:t xml:space="preserve"> </w:t>
      </w:r>
      <m:oMath>
        <m:r>
          <m:t>9.10</m:t>
        </m:r>
        <m:r>
          <m:t>b</m:t>
        </m:r>
        <m:r>
          <m:t>i</m:t>
        </m:r>
        <m:r>
          <m:t>l</m:t>
        </m:r>
        <m:r>
          <m:t>l</m:t>
        </m:r>
        <m:r>
          <m:t>i</m:t>
        </m:r>
        <m:r>
          <m:t>o</m:t>
        </m:r>
        <m:r>
          <m:t>n</m:t>
        </m:r>
        <m:r>
          <m:rPr>
            <m:sty m:val="p"/>
          </m:rPr>
          <m:t>,</m:t>
        </m:r>
        <m:r>
          <m:t>t</m:t>
        </m:r>
        <m:r>
          <m:t>h</m:t>
        </m:r>
        <m:r>
          <m:t>a</m:t>
        </m:r>
        <m:r>
          <m:t>t</m:t>
        </m:r>
        <m:r>
          <m:t>s</m:t>
        </m:r>
        <m:r>
          <m:t>u</m:t>
        </m:r>
        <m:r>
          <m:t>g</m:t>
        </m:r>
        <m:r>
          <m:t>g</m:t>
        </m:r>
        <m:r>
          <m:t>e</m:t>
        </m:r>
        <m:r>
          <m:t>s</m:t>
        </m:r>
        <m:r>
          <m:t>t</m:t>
        </m:r>
        <m:r>
          <m:t>s</m:t>
        </m:r>
        <m:r>
          <m:t>r</m:t>
        </m:r>
        <m:r>
          <m:t>o</m:t>
        </m:r>
        <m:r>
          <m:t>u</m:t>
        </m:r>
        <m:r>
          <m:t>g</m:t>
        </m:r>
        <m:r>
          <m:t>h</m:t>
        </m:r>
        <m:r>
          <m:t>l</m:t>
        </m:r>
        <m:r>
          <m:t>y</m:t>
        </m:r>
        <m:r>
          <m:rPr>
            <m:sty m:val="p"/>
          </m:rPr>
          <m:t>*</m:t>
        </m:r>
        <m:r>
          <m:rPr>
            <m:sty m:val="p"/>
          </m:rPr>
          <m:t>*</m:t>
        </m:r>
      </m:oMath>
      <w:r>
        <w:t xml:space="preserve">11.4–$11.7 billion** before considering incremental acquisition effects.</w:t>
      </w:r>
    </w:p>
    <w:p>
      <w:pPr>
        <w:pStyle w:val="BodyText"/>
      </w:pPr>
      <w:r>
        <w:t xml:space="preserve">Because Q1 same-store growth was 51%, the guidance already assumes considerable moderation over the remaining quarters. The key will be whether management:</w:t>
      </w:r>
    </w:p>
    <w:p>
      <w:pPr>
        <w:pStyle w:val="Compact"/>
        <w:numPr>
          <w:ilvl w:val="0"/>
          <w:numId w:val="1008"/>
        </w:numPr>
      </w:pPr>
      <w:r>
        <w:t xml:space="preserve">Maintains the existing range</w:t>
      </w:r>
    </w:p>
    <w:p>
      <w:pPr>
        <w:pStyle w:val="Compact"/>
        <w:numPr>
          <w:ilvl w:val="0"/>
          <w:numId w:val="1008"/>
        </w:numPr>
      </w:pPr>
      <w:r>
        <w:t xml:space="preserve">Moves toward the high end</w:t>
      </w:r>
    </w:p>
    <w:p>
      <w:pPr>
        <w:pStyle w:val="Compact"/>
        <w:numPr>
          <w:ilvl w:val="0"/>
          <w:numId w:val="1008"/>
        </w:numPr>
      </w:pPr>
      <w:r>
        <w:t xml:space="preserve">Formally raises the range</w:t>
      </w:r>
    </w:p>
    <w:p>
      <w:pPr>
        <w:pStyle w:val="Compact"/>
        <w:numPr>
          <w:ilvl w:val="0"/>
          <w:numId w:val="1008"/>
        </w:numPr>
      </w:pPr>
      <w:r>
        <w:t xml:space="preserve">Provides more confidence in 2027 backlog conversion</w:t>
      </w:r>
    </w:p>
    <w:p>
      <w:pPr>
        <w:pStyle w:val="FirstParagraph"/>
      </w:pPr>
      <w:r>
        <w:t xml:space="preserve">A simple reiteration may be viewed as conservative if Q2 results materially exceed consensus and backlog remains strong. Given FIX’s premium multiple, the market may want some combination of a guidance increase, higher backlog, or explicit confidence that current margins can persist.</w:t>
      </w:r>
    </w:p>
    <w:p>
      <w:pPr>
        <w:pStyle w:val="BodyText"/>
      </w:pPr>
      <w:r>
        <w:t xml:space="preserve">Also watch for an update on the electrical contractor that FIX expected to acquire around early May. At the Q1 call, management described the target as contributing approximately</w:t>
      </w:r>
      <w:r>
        <w:t xml:space="preserve"> </w:t>
      </w:r>
      <w:r>
        <w:rPr>
          <w:b/>
          <w:bCs/>
        </w:rPr>
        <w:t xml:space="preserve">$250 million of annualized revenue</w:t>
      </w:r>
      <w:r>
        <w:t xml:space="preserve"> </w:t>
      </w:r>
      <w:r>
        <w:t xml:space="preserve">at an initial EBITDA margin of 8%–10%. Its closing status, integration and expected contribution could affect reported growth and margin mix.</w:t>
      </w:r>
    </w:p>
    <w:p>
      <w:r>
        <w:pict>
          <v:rect style="width:0;height:1.5pt" o:hralign="center" o:hrstd="t" o:hr="t"/>
        </w:pict>
      </w:r>
    </w:p>
    <w:bookmarkEnd w:id="21"/>
    <w:bookmarkStart w:id="22" w:name="valuation-and-stock-setup"/>
    <w:p>
      <w:pPr>
        <w:pStyle w:val="Heading2"/>
      </w:pPr>
      <w:r>
        <w:t xml:space="preserve">Valuation and stock setup</w:t>
      </w:r>
    </w:p>
    <w:p>
      <w:pPr>
        <w:pStyle w:val="FirstParagraph"/>
      </w:pPr>
      <w:r>
        <w:t xml:space="preserve">At the July 22 close of approximately</w:t>
      </w:r>
      <w:r>
        <w:t xml:space="preserve"> </w:t>
      </w:r>
      <w:r>
        <w:rPr>
          <w:b/>
          <w:bCs/>
        </w:rPr>
        <w:t xml:space="preserve">$1,791</w:t>
      </w:r>
      <w:r>
        <w:t xml:space="preserve">, FIX shares were:</w:t>
      </w:r>
    </w:p>
    <w:p>
      <w:pPr>
        <w:pStyle w:val="Compact"/>
        <w:numPr>
          <w:ilvl w:val="0"/>
          <w:numId w:val="1009"/>
        </w:numPr>
      </w:pPr>
      <w:r>
        <w:t xml:space="preserve">Up roughly</w:t>
      </w:r>
      <w:r>
        <w:t xml:space="preserve"> </w:t>
      </w:r>
      <w:r>
        <w:rPr>
          <w:b/>
          <w:bCs/>
        </w:rPr>
        <w:t xml:space="preserve">92% year to date</w:t>
      </w:r>
    </w:p>
    <w:p>
      <w:pPr>
        <w:pStyle w:val="Compact"/>
        <w:numPr>
          <w:ilvl w:val="0"/>
          <w:numId w:val="1009"/>
        </w:numPr>
      </w:pPr>
      <w:r>
        <w:t xml:space="preserve">Up approximately</w:t>
      </w:r>
      <w:r>
        <w:t xml:space="preserve"> </w:t>
      </w:r>
      <w:r>
        <w:rPr>
          <w:b/>
          <w:bCs/>
        </w:rPr>
        <w:t xml:space="preserve">227% over the prior 12 months</w:t>
      </w:r>
    </w:p>
    <w:p>
      <w:pPr>
        <w:pStyle w:val="Compact"/>
        <w:numPr>
          <w:ilvl w:val="0"/>
          <w:numId w:val="1009"/>
        </w:numPr>
      </w:pPr>
      <w:r>
        <w:t xml:space="preserve">About</w:t>
      </w:r>
      <w:r>
        <w:t xml:space="preserve"> </w:t>
      </w:r>
      <w:r>
        <w:rPr>
          <w:b/>
          <w:bCs/>
        </w:rPr>
        <w:t xml:space="preserve">13% below</w:t>
      </w:r>
      <w:r>
        <w:t xml:space="preserve"> </w:t>
      </w:r>
      <w:r>
        <w:t xml:space="preserve">their June high</w:t>
      </w:r>
    </w:p>
    <w:p>
      <w:pPr>
        <w:pStyle w:val="Compact"/>
        <w:numPr>
          <w:ilvl w:val="0"/>
          <w:numId w:val="1009"/>
        </w:numPr>
      </w:pPr>
      <w:r>
        <w:t xml:space="preserve">Trading near</w:t>
      </w:r>
      <w:r>
        <w:t xml:space="preserve"> </w:t>
      </w:r>
      <w:r>
        <w:rPr>
          <w:b/>
          <w:bCs/>
        </w:rPr>
        <w:t xml:space="preserve">52× trailing EPS</w:t>
      </w:r>
    </w:p>
    <w:p>
      <w:pPr>
        <w:pStyle w:val="Compact"/>
        <w:numPr>
          <w:ilvl w:val="0"/>
          <w:numId w:val="1009"/>
        </w:numPr>
      </w:pPr>
      <w:r>
        <w:t xml:space="preserve">Trading around</w:t>
      </w:r>
      <w:r>
        <w:t xml:space="preserve"> </w:t>
      </w:r>
      <w:r>
        <w:rPr>
          <w:b/>
          <w:bCs/>
        </w:rPr>
        <w:t xml:space="preserve">41× the published 2026 consensus EPS estimate</w:t>
      </w:r>
    </w:p>
    <w:p>
      <w:pPr>
        <w:pStyle w:val="FirstParagraph"/>
      </w:pPr>
      <w:r>
        <w:t xml:space="preserve">The stock’s consolidation from its June peak reduces the immediate setup risk somewhat, but this remains a premium valuation for a project-based contractor. The market is valuing FIX as a scarce, high-growth AI-infrastructure platform rather than as a conventional construction business.</w:t>
      </w:r>
    </w:p>
    <w:p>
      <w:pPr>
        <w:pStyle w:val="BodyText"/>
      </w:pPr>
      <w:r>
        <w:t xml:space="preserve">That creates an asymmetric reaction function: another meaningful beat with strong bookings can sustain the premium, but merely meeting expectations with cautious guidance may not be enough.</w:t>
      </w:r>
    </w:p>
    <w:p>
      <w:r>
        <w:pict>
          <v:rect style="width:0;height:1.5pt" o:hralign="center" o:hrstd="t" o:hr="t"/>
        </w:pict>
      </w:r>
    </w:p>
    <w:bookmarkEnd w:id="22"/>
    <w:bookmarkStart w:id="26" w:name="investor-scorecard"/>
    <w:p>
      <w:pPr>
        <w:pStyle w:val="Heading2"/>
      </w:pPr>
      <w:r>
        <w:t xml:space="preserve">Investor scorecard</w:t>
      </w:r>
    </w:p>
    <w:bookmarkStart w:id="23" w:name="bullish-report"/>
    <w:p>
      <w:pPr>
        <w:pStyle w:val="Heading3"/>
      </w:pPr>
      <w:r>
        <w:t xml:space="preserve">Bullish report</w:t>
      </w:r>
    </w:p>
    <w:p>
      <w:pPr>
        <w:pStyle w:val="Compact"/>
        <w:numPr>
          <w:ilvl w:val="0"/>
          <w:numId w:val="1010"/>
        </w:numPr>
      </w:pPr>
      <w:r>
        <w:t xml:space="preserve">Revenue</w:t>
      </w:r>
      <w:r>
        <w:t xml:space="preserve"> </w:t>
      </w:r>
      <w:r>
        <w:rPr>
          <w:b/>
          <w:bCs/>
        </w:rPr>
        <w:t xml:space="preserve">above $3.1 billion</w:t>
      </w:r>
    </w:p>
    <w:p>
      <w:pPr>
        <w:pStyle w:val="Compact"/>
        <w:numPr>
          <w:ilvl w:val="0"/>
          <w:numId w:val="1010"/>
        </w:numPr>
      </w:pPr>
      <w:r>
        <w:t xml:space="preserve">EPS</w:t>
      </w:r>
      <w:r>
        <w:t xml:space="preserve"> </w:t>
      </w:r>
      <w:r>
        <w:rPr>
          <w:b/>
          <w:bCs/>
        </w:rPr>
        <w:t xml:space="preserve">above approximately $11.25</w:t>
      </w:r>
    </w:p>
    <w:p>
      <w:pPr>
        <w:pStyle w:val="Compact"/>
        <w:numPr>
          <w:ilvl w:val="0"/>
          <w:numId w:val="1010"/>
        </w:numPr>
      </w:pPr>
      <w:r>
        <w:t xml:space="preserve">Core gross margin near or above</w:t>
      </w:r>
      <w:r>
        <w:t xml:space="preserve"> </w:t>
      </w:r>
      <w:r>
        <w:rPr>
          <w:b/>
          <w:bCs/>
        </w:rPr>
        <w:t xml:space="preserve">25%</w:t>
      </w:r>
    </w:p>
    <w:p>
      <w:pPr>
        <w:pStyle w:val="Compact"/>
        <w:numPr>
          <w:ilvl w:val="0"/>
          <w:numId w:val="1010"/>
        </w:numPr>
      </w:pPr>
      <w:r>
        <w:t xml:space="preserve">Backlog stable to higher despite record revenue conversion</w:t>
      </w:r>
    </w:p>
    <w:p>
      <w:pPr>
        <w:pStyle w:val="Compact"/>
        <w:numPr>
          <w:ilvl w:val="0"/>
          <w:numId w:val="1010"/>
        </w:numPr>
      </w:pPr>
      <w:r>
        <w:t xml:space="preserve">Continued strong technology and modular bookings</w:t>
      </w:r>
    </w:p>
    <w:p>
      <w:pPr>
        <w:pStyle w:val="Compact"/>
        <w:numPr>
          <w:ilvl w:val="0"/>
          <w:numId w:val="1010"/>
        </w:numPr>
      </w:pPr>
      <w:r>
        <w:t xml:space="preserve">Full-year organic growth guidance raised</w:t>
      </w:r>
    </w:p>
    <w:p>
      <w:pPr>
        <w:pStyle w:val="Compact"/>
        <w:numPr>
          <w:ilvl w:val="0"/>
          <w:numId w:val="1010"/>
        </w:numPr>
      </w:pPr>
      <w:r>
        <w:t xml:space="preserve">No evidence of project delays, customer pushouts, or execution strain</w:t>
      </w:r>
    </w:p>
    <w:bookmarkEnd w:id="23"/>
    <w:bookmarkStart w:id="24" w:name="acceptablebase-case-report"/>
    <w:p>
      <w:pPr>
        <w:pStyle w:val="Heading3"/>
      </w:pPr>
      <w:r>
        <w:t xml:space="preserve">Acceptable/base-case report</w:t>
      </w:r>
    </w:p>
    <w:p>
      <w:pPr>
        <w:pStyle w:val="Compact"/>
        <w:numPr>
          <w:ilvl w:val="0"/>
          <w:numId w:val="1011"/>
        </w:numPr>
      </w:pPr>
      <w:r>
        <w:t xml:space="preserve">Revenue of</w:t>
      </w:r>
      <w:r>
        <w:t xml:space="preserve"> </w:t>
      </w:r>
      <m:oMath>
        <m:r>
          <m:t>2.95</m:t>
        </m:r>
        <m:r>
          <m:rPr>
            <m:sty m:val="p"/>
          </m:rPr>
          <m:t>–</m:t>
        </m:r>
      </m:oMath>
      <w:r>
        <w:rPr>
          <w:b/>
          <w:bCs/>
        </w:rPr>
        <w:t xml:space="preserve">3.10 billion</w:t>
      </w:r>
    </w:p>
    <w:p>
      <w:pPr>
        <w:pStyle w:val="Compact"/>
        <w:numPr>
          <w:ilvl w:val="0"/>
          <w:numId w:val="1011"/>
        </w:numPr>
      </w:pPr>
      <w:r>
        <w:t xml:space="preserve">EPS of</w:t>
      </w:r>
      <w:r>
        <w:t xml:space="preserve"> </w:t>
      </w:r>
      <m:oMath>
        <m:r>
          <m:t>10.00</m:t>
        </m:r>
        <m:r>
          <m:rPr>
            <m:sty m:val="p"/>
          </m:rPr>
          <m:t>–</m:t>
        </m:r>
      </m:oMath>
      <w:r>
        <w:rPr>
          <w:b/>
          <w:bCs/>
        </w:rPr>
        <w:t xml:space="preserve">11.25</w:t>
      </w:r>
    </w:p>
    <w:p>
      <w:pPr>
        <w:pStyle w:val="Compact"/>
        <w:numPr>
          <w:ilvl w:val="0"/>
          <w:numId w:val="1011"/>
        </w:numPr>
      </w:pPr>
      <w:r>
        <w:t xml:space="preserve">Gross margin in the mid-24% to 25% range</w:t>
      </w:r>
    </w:p>
    <w:p>
      <w:pPr>
        <w:pStyle w:val="Compact"/>
        <w:numPr>
          <w:ilvl w:val="0"/>
          <w:numId w:val="1011"/>
        </w:numPr>
      </w:pPr>
      <w:r>
        <w:t xml:space="preserve">Modest backlog movement explained by conversion timing</w:t>
      </w:r>
    </w:p>
    <w:p>
      <w:pPr>
        <w:pStyle w:val="Compact"/>
        <w:numPr>
          <w:ilvl w:val="0"/>
          <w:numId w:val="1011"/>
        </w:numPr>
      </w:pPr>
      <w:r>
        <w:t xml:space="preserve">Existing guidance maintained with constructive pipeline commentary</w:t>
      </w:r>
    </w:p>
    <w:bookmarkEnd w:id="24"/>
    <w:bookmarkStart w:id="25" w:name="disappointing-report"/>
    <w:p>
      <w:pPr>
        <w:pStyle w:val="Heading3"/>
      </w:pPr>
      <w:r>
        <w:t xml:space="preserve">Disappointing report</w:t>
      </w:r>
    </w:p>
    <w:p>
      <w:pPr>
        <w:pStyle w:val="Compact"/>
        <w:numPr>
          <w:ilvl w:val="0"/>
          <w:numId w:val="1012"/>
        </w:numPr>
      </w:pPr>
      <w:r>
        <w:t xml:space="preserve">Revenue below roughly</w:t>
      </w:r>
      <w:r>
        <w:t xml:space="preserve"> </w:t>
      </w:r>
      <w:r>
        <w:rPr>
          <w:b/>
          <w:bCs/>
        </w:rPr>
        <w:t xml:space="preserve">$2.9 billion</w:t>
      </w:r>
    </w:p>
    <w:p>
      <w:pPr>
        <w:pStyle w:val="Compact"/>
        <w:numPr>
          <w:ilvl w:val="0"/>
          <w:numId w:val="1012"/>
        </w:numPr>
      </w:pPr>
      <w:r>
        <w:t xml:space="preserve">EPS below approximately</w:t>
      </w:r>
      <w:r>
        <w:t xml:space="preserve"> </w:t>
      </w:r>
      <w:r>
        <w:rPr>
          <w:b/>
          <w:bCs/>
        </w:rPr>
        <w:t xml:space="preserve">$9.75</w:t>
      </w:r>
    </w:p>
    <w:p>
      <w:pPr>
        <w:pStyle w:val="Compact"/>
        <w:numPr>
          <w:ilvl w:val="0"/>
          <w:numId w:val="1012"/>
        </w:numPr>
      </w:pPr>
      <w:r>
        <w:t xml:space="preserve">Core gross margin below</w:t>
      </w:r>
      <w:r>
        <w:t xml:space="preserve"> </w:t>
      </w:r>
      <w:r>
        <w:rPr>
          <w:b/>
          <w:bCs/>
        </w:rPr>
        <w:t xml:space="preserve">24%</w:t>
      </w:r>
    </w:p>
    <w:p>
      <w:pPr>
        <w:pStyle w:val="Compact"/>
        <w:numPr>
          <w:ilvl w:val="0"/>
          <w:numId w:val="1012"/>
        </w:numPr>
      </w:pPr>
      <w:r>
        <w:t xml:space="preserve">Material backlog decline without strong booking or pipeline evidence</w:t>
      </w:r>
    </w:p>
    <w:p>
      <w:pPr>
        <w:pStyle w:val="Compact"/>
        <w:numPr>
          <w:ilvl w:val="0"/>
          <w:numId w:val="1012"/>
        </w:numPr>
      </w:pPr>
      <w:r>
        <w:t xml:space="preserve">Increased labor inefficiency or project-estimate reversals</w:t>
      </w:r>
    </w:p>
    <w:p>
      <w:pPr>
        <w:pStyle w:val="Compact"/>
        <w:numPr>
          <w:ilvl w:val="0"/>
          <w:numId w:val="1012"/>
        </w:numPr>
      </w:pPr>
      <w:r>
        <w:t xml:space="preserve">Data-center delays, customer concentration concerns, or softer 2027 commentary</w:t>
      </w:r>
    </w:p>
    <w:p>
      <w:pPr>
        <w:pStyle w:val="Compact"/>
        <w:numPr>
          <w:ilvl w:val="0"/>
          <w:numId w:val="1012"/>
        </w:numPr>
      </w:pPr>
      <w:r>
        <w:t xml:space="preserve">Guidance maintained only through reliance on acquisitions rather than organic execution</w:t>
      </w:r>
    </w:p>
    <w:p>
      <w:r>
        <w:pict>
          <v:rect style="width:0;height:1.5pt" o:hralign="center" o:hrstd="t" o:hr="t"/>
        </w:pict>
      </w:r>
    </w:p>
    <w:bookmarkEnd w:id="25"/>
    <w:bookmarkEnd w:id="26"/>
    <w:bookmarkStart w:id="27" w:name="bottom-line"/>
    <w:p>
      <w:pPr>
        <w:pStyle w:val="Heading2"/>
      </w:pPr>
      <w:r>
        <w:t xml:space="preserve">Bottom line</w:t>
      </w:r>
    </w:p>
    <w:p>
      <w:pPr>
        <w:pStyle w:val="FirstParagraph"/>
      </w:pPr>
      <w:r>
        <w:t xml:space="preserve">FIX’s operating position remains unusually strong: record backlog, scarce skilled labor, expanding modular capabilities, a debt-free balance sheet on a net basis, and direct exposure to data-center power and cooling investment.</w:t>
      </w:r>
    </w:p>
    <w:p>
      <w:pPr>
        <w:pStyle w:val="BodyText"/>
      </w:pPr>
      <w:r>
        <w:t xml:space="preserve">However, Q1 raised the bar dramatically. The stock no longer needs simply “good” results. It needs evidence that:</w:t>
      </w:r>
    </w:p>
    <w:p>
      <w:pPr>
        <w:pStyle w:val="Compact"/>
        <w:numPr>
          <w:ilvl w:val="0"/>
          <w:numId w:val="1013"/>
        </w:numPr>
      </w:pPr>
      <w:r>
        <w:rPr>
          <w:b/>
          <w:bCs/>
        </w:rPr>
        <w:t xml:space="preserve">Core margins near 25% are sustainable without special closeout benefits;</w:t>
      </w:r>
    </w:p>
    <w:p>
      <w:pPr>
        <w:pStyle w:val="Compact"/>
        <w:numPr>
          <w:ilvl w:val="0"/>
          <w:numId w:val="1013"/>
        </w:numPr>
      </w:pPr>
      <w:r>
        <w:rPr>
          <w:b/>
          <w:bCs/>
        </w:rPr>
        <w:t xml:space="preserve">Bookings can replenish approximately $3 billion of quarterly revenue;</w:t>
      </w:r>
    </w:p>
    <w:p>
      <w:pPr>
        <w:pStyle w:val="Compact"/>
        <w:numPr>
          <w:ilvl w:val="0"/>
          <w:numId w:val="1013"/>
        </w:numPr>
      </w:pPr>
      <w:r>
        <w:rPr>
          <w:b/>
          <w:bCs/>
        </w:rPr>
        <w:t xml:space="preserve">Data-center demand remains firm into 2027; and</w:t>
      </w:r>
    </w:p>
    <w:p>
      <w:pPr>
        <w:pStyle w:val="Compact"/>
        <w:numPr>
          <w:ilvl w:val="0"/>
          <w:numId w:val="1013"/>
        </w:numPr>
      </w:pPr>
      <w:r>
        <w:rPr>
          <w:b/>
          <w:bCs/>
        </w:rPr>
        <w:t xml:space="preserve">FIX can expand labor and modular capacity without sacrificing execution.</w:t>
      </w:r>
    </w:p>
    <w:p>
      <w:pPr>
        <w:pStyle w:val="FirstParagraph"/>
      </w:pPr>
      <w:r>
        <w:t xml:space="preserve">The most important figure tonight may not be EPS. It will likely be the combination of</w:t>
      </w:r>
      <w:r>
        <w:t xml:space="preserve"> </w:t>
      </w:r>
      <w:r>
        <w:rPr>
          <w:b/>
          <w:bCs/>
        </w:rPr>
        <w:t xml:space="preserve">core gross margin, backlog, and management’s forward demand commentary</w:t>
      </w:r>
      <w:r>
        <w:t xml:space="preserve">.</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ors.comfortsystemsusa.com/news-releases/news-release-details/comfort-systems-usa-announces-second-quarter-2026-conference?utm_source=openai" TargetMode="External" /><Relationship Type="http://schemas.openxmlformats.org/officeDocument/2006/relationships/hyperlink" Id="rId10" Target="https://investors.comfortsystemsusa.com/static-files/eb76e0cd-f57c-496d-a682-7df9936aab32" TargetMode="External" /><Relationship Type="http://schemas.openxmlformats.org/officeDocument/2006/relationships/hyperlink" Id="rId13" Target="https://www.marketbeat.com/earnings/reports/2026-7-23-comfort-systems-usa-inc-stock/?utm_source=openai" TargetMode="External" /><Relationship Type="http://schemas.openxmlformats.org/officeDocument/2006/relationships/hyperlink" Id="rId11" Target="https://www.sec.gov/Archives/edgar/data/1035983/000110465926047679/fix-20260423xex99d1.htm"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ors.comfortsystemsusa.com/news-releases/news-release-details/comfort-systems-usa-announces-second-quarter-2026-conference?utm_source=openai" TargetMode="External" /><Relationship Type="http://schemas.openxmlformats.org/officeDocument/2006/relationships/hyperlink" Id="rId10" Target="https://investors.comfortsystemsusa.com/static-files/eb76e0cd-f57c-496d-a682-7df9936aab32" TargetMode="External" /><Relationship Type="http://schemas.openxmlformats.org/officeDocument/2006/relationships/hyperlink" Id="rId13" Target="https://www.marketbeat.com/earnings/reports/2026-7-23-comfort-systems-usa-inc-stock/?utm_source=openai" TargetMode="External" /><Relationship Type="http://schemas.openxmlformats.org/officeDocument/2006/relationships/hyperlink" Id="rId11" Target="https://www.sec.gov/Archives/edgar/data/1035983/000110465926047679/fix-20260423xex99d1.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2026-07-23T01:13:55Z</dcterms:created>
  <dcterms:modified xsi:type="dcterms:W3CDTF">2026-07-23T01:13:55Z</dcterms:modified>
</cp:coreProperties>
</file>

<file path=docProps/custom.xml><?xml version="1.0" encoding="utf-8"?>
<Properties xmlns="http://schemas.openxmlformats.org/officeDocument/2006/custom-properties" xmlns:vt="http://schemas.openxmlformats.org/officeDocument/2006/docPropsVTypes"/>
</file>