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9ab4503624aef99a42cfc15a8ff0573022cf921"/>
    <w:p>
      <w:pPr>
        <w:pStyle w:val="Heading1"/>
      </w:pPr>
      <w:r>
        <w:t xml:space="preserve">Comfort Systems USA (NYSE: FIX) — 2Q26 Earnings Preview</w:t>
      </w:r>
    </w:p>
    <w:p>
      <w:pPr>
        <w:pStyle w:val="BlockText"/>
      </w:pPr>
      <w:r>
        <w:rPr>
          <w:b/>
          <w:bCs/>
        </w:rPr>
        <w:t xml:space="preserve">Date clarification:</w:t>
      </w:r>
      <w:r>
        <w:t xml:space="preserve"> </w:t>
      </w:r>
      <w:r>
        <w:t xml:space="preserve">This preview is written for</w:t>
      </w:r>
      <w:r>
        <w:t xml:space="preserve"> </w:t>
      </w:r>
      <w:r>
        <w:rPr>
          <w:b/>
          <w:bCs/>
        </w:rPr>
        <w:t xml:space="preserve">Thursday, July 23, 2026</w:t>
      </w:r>
      <w:r>
        <w:t xml:space="preserve">. The request describes July 23 as “tomorrow,” but it is</w:t>
      </w:r>
      <w:r>
        <w:t xml:space="preserve"> </w:t>
      </w:r>
      <w:r>
        <w:rPr>
          <w:b/>
          <w:bCs/>
        </w:rPr>
        <w:t xml:space="preserve">today</w:t>
      </w:r>
      <w:r>
        <w:t xml:space="preserve"> </w:t>
      </w:r>
      <w:r>
        <w:t xml:space="preserve">under the stated date context. I therefore treat this as a pre-results preview for the 2026Q2 report/event.</w:t>
      </w:r>
    </w:p>
    <w:bookmarkStart w:id="9" w:name="Xa576fa62037abd35bdcc49c76a1c1be21238276"/>
    <w:p>
      <w:pPr>
        <w:pStyle w:val="Heading2"/>
      </w:pPr>
      <w:r>
        <w:t xml:space="preserve">Investment view: execution and backlog quality matter more than the headline EPS beat</w:t>
      </w:r>
    </w:p>
    <w:p>
      <w:pPr>
        <w:pStyle w:val="FirstParagraph"/>
      </w:pPr>
      <w:r>
        <w:t xml:space="preserve">FIX enters 2Q26 after an extraordinary first quarter, with revenue up 57%, EPS up 121%, record backlog, and unusually strong margins. The central question is no longer whether demand is robust—it plainly is—but whether Comfort can</w:t>
      </w:r>
      <w:r>
        <w:t xml:space="preserve"> </w:t>
      </w:r>
      <w:r>
        <w:rPr>
          <w:b/>
          <w:bCs/>
        </w:rPr>
        <w:t xml:space="preserve">sustain high-20% organic growth and structurally elevated profitability</w:t>
      </w:r>
      <w:r>
        <w:t xml:space="preserve"> </w:t>
      </w:r>
      <w:r>
        <w:t xml:space="preserve">while rapidly expanding labor, modular capacity, and electrical capabilities.</w:t>
      </w:r>
    </w:p>
    <w:p>
      <w:pPr>
        <w:pStyle w:val="BodyText"/>
      </w:pPr>
      <w:r>
        <w:t xml:space="preserve">The earnings setup looks constructive operationally, but demanding from an expectations perspective. Shares closed at</w:t>
      </w:r>
      <w:r>
        <w:t xml:space="preserve"> </w:t>
      </w:r>
      <w:r>
        <w:rPr>
          <w:b/>
          <w:bCs/>
        </w:rPr>
        <w:t xml:space="preserve">$1,791.10 on July 22</w:t>
      </w:r>
      <w:r>
        <w:t xml:space="preserve">, up roughly</w:t>
      </w:r>
      <w:r>
        <w:t xml:space="preserve"> </w:t>
      </w:r>
      <w:r>
        <w:rPr>
          <w:b/>
          <w:bCs/>
        </w:rPr>
        <w:t xml:space="preserve">78% year to date</w:t>
      </w:r>
      <w:r>
        <w:t xml:space="preserve">, although still about</w:t>
      </w:r>
      <w:r>
        <w:t xml:space="preserve"> </w:t>
      </w:r>
      <w:r>
        <w:rPr>
          <w:b/>
          <w:bCs/>
        </w:rPr>
        <w:t xml:space="preserve">13% below</w:t>
      </w:r>
      <w:r>
        <w:t xml:space="preserve"> </w:t>
      </w:r>
      <w:r>
        <w:t xml:space="preserve">their June 22 closing high of $2,066.51. A simple beat is unlikely to be enough; investors will focus on backlog conversion, margins excluding favorable project closeouts, and whether management raises its organic-growth outlook.</w:t>
      </w:r>
    </w:p>
    <w:bookmarkEnd w:id="9"/>
    <w:bookmarkStart w:id="10" w:name="the-reference-points"/>
    <w:p>
      <w:pPr>
        <w:pStyle w:val="Heading2"/>
      </w:pPr>
      <w:r>
        <w:t xml:space="preserve">The reference points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1Q26 actual</w:t>
            </w:r>
          </w:p>
        </w:tc>
        <w:tc>
          <w:tcPr/>
          <w:p>
            <w:pPr>
              <w:pStyle w:val="Compact"/>
            </w:pPr>
            <w:r>
              <w:t xml:space="preserve">Why it matters for 2Q26</w:t>
            </w:r>
          </w:p>
        </w:tc>
      </w:tr>
      <w:tr>
        <w:tc>
          <w:tcPr/>
          <w:p>
            <w:pPr>
              <w:pStyle w:val="Compact"/>
            </w:pPr>
            <w:r>
              <w:t xml:space="preserve">Revenue</w:t>
            </w:r>
          </w:p>
        </w:tc>
        <w:tc>
          <w:tcPr/>
          <w:p>
            <w:pPr>
              <w:pStyle w:val="Compact"/>
              <w:jc w:val="right"/>
            </w:pPr>
            <w:r>
              <w:t xml:space="preserve">$2.17B</w:t>
            </w:r>
          </w:p>
        </w:tc>
        <w:tc>
          <w:tcPr/>
          <w:p>
            <w:pPr>
              <w:pStyle w:val="Compact"/>
              <w:jc w:val="right"/>
            </w:pPr>
            <w:r>
              <w:t xml:space="preserve">$2.87B</w:t>
            </w:r>
          </w:p>
        </w:tc>
        <w:tc>
          <w:tcPr/>
          <w:p>
            <w:pPr>
              <w:pStyle w:val="Compact"/>
            </w:pPr>
            <w:r>
              <w:t xml:space="preserve">2Q25 is the year-over-year comparison base; 1Q26 demonstrated exceptional data-center-driven volume.</w:t>
            </w:r>
          </w:p>
        </w:tc>
      </w:tr>
      <w:tr>
        <w:tc>
          <w:tcPr/>
          <w:p>
            <w:pPr>
              <w:pStyle w:val="Compact"/>
            </w:pPr>
            <w:r>
              <w:t xml:space="preserve">Diluted EPS</w:t>
            </w:r>
          </w:p>
        </w:tc>
        <w:tc>
          <w:tcPr/>
          <w:p>
            <w:pPr>
              <w:pStyle w:val="Compact"/>
              <w:jc w:val="right"/>
            </w:pPr>
            <w:r>
              <w:t xml:space="preserve">$6.53</w:t>
            </w:r>
          </w:p>
        </w:tc>
        <w:tc>
          <w:tcPr/>
          <w:p>
            <w:pPr>
              <w:pStyle w:val="Compact"/>
              <w:jc w:val="right"/>
            </w:pPr>
            <w:r>
              <w:t xml:space="preserve">$10.51</w:t>
            </w:r>
          </w:p>
        </w:tc>
        <w:tc>
          <w:tcPr/>
          <w:p>
            <w:pPr>
              <w:pStyle w:val="Compact"/>
            </w:pPr>
            <w:r>
              <w:t xml:space="preserve">EPS has reset sharply higher, increasing the burden of proof for the quarter.</w:t>
            </w:r>
          </w:p>
        </w:tc>
      </w:tr>
      <w:tr>
        <w:tc>
          <w:tcPr/>
          <w:p>
            <w:pPr>
              <w:pStyle w:val="Compact"/>
            </w:pPr>
            <w:r>
              <w:t xml:space="preserve">Gross margin</w:t>
            </w:r>
          </w:p>
        </w:tc>
        <w:tc>
          <w:tcPr/>
          <w:p>
            <w:pPr>
              <w:pStyle w:val="Compact"/>
              <w:jc w:val="right"/>
            </w:pPr>
            <w:r>
              <w:t xml:space="preserve">23.5%</w:t>
            </w:r>
          </w:p>
        </w:tc>
        <w:tc>
          <w:tcPr/>
          <w:p>
            <w:pPr>
              <w:pStyle w:val="Compact"/>
              <w:jc w:val="right"/>
            </w:pPr>
            <w:r>
              <w:t xml:space="preserve">26.3%</w:t>
            </w:r>
          </w:p>
        </w:tc>
        <w:tc>
          <w:tcPr/>
          <w:p>
            <w:pPr>
              <w:pStyle w:val="Compact"/>
            </w:pPr>
            <w:r>
              <w:t xml:space="preserve">1Q included approximately $43M of favorable late-stage project developments/change orders.</w:t>
            </w:r>
          </w:p>
        </w:tc>
      </w:tr>
      <w:tr>
        <w:tc>
          <w:tcPr/>
          <w:p>
            <w:pPr>
              <w:pStyle w:val="Compact"/>
            </w:pPr>
            <w:r>
              <w:t xml:space="preserve">Operating margin</w:t>
            </w:r>
          </w:p>
        </w:tc>
        <w:tc>
          <w:tcPr/>
          <w:p>
            <w:pPr>
              <w:pStyle w:val="Compact"/>
              <w:jc w:val="right"/>
            </w:pPr>
            <w:r>
              <w:t xml:space="preserve">13.8%</w:t>
            </w:r>
          </w:p>
        </w:tc>
        <w:tc>
          <w:tcPr/>
          <w:p>
            <w:pPr>
              <w:pStyle w:val="Compact"/>
              <w:jc w:val="right"/>
            </w:pPr>
            <w:r>
              <w:t xml:space="preserve">17.0%</w:t>
            </w:r>
          </w:p>
        </w:tc>
        <w:tc>
          <w:tcPr/>
          <w:p>
            <w:pPr>
              <w:pStyle w:val="Compact"/>
            </w:pPr>
            <w:r>
              <w:t xml:space="preserve">Tests whether higher volume continues to drive SG&amp;A leverage.</w:t>
            </w:r>
          </w:p>
        </w:tc>
      </w:tr>
      <w:tr>
        <w:tc>
          <w:tcPr/>
          <w:p>
            <w:pPr>
              <w:pStyle w:val="Compact"/>
            </w:pPr>
            <w:r>
              <w:t xml:space="preserve">Adjusted EBITDA margin</w:t>
            </w:r>
          </w:p>
        </w:tc>
        <w:tc>
          <w:tcPr/>
          <w:p>
            <w:pPr>
              <w:pStyle w:val="Compact"/>
              <w:jc w:val="right"/>
            </w:pPr>
            <w:r>
              <w:t xml:space="preserve">15.4%</w:t>
            </w:r>
          </w:p>
        </w:tc>
        <w:tc>
          <w:tcPr/>
          <w:p>
            <w:pPr>
              <w:pStyle w:val="Compact"/>
              <w:jc w:val="right"/>
            </w:pPr>
            <w:r>
              <w:t xml:space="preserve">18.3%</w:t>
            </w:r>
          </w:p>
        </w:tc>
        <w:tc>
          <w:tcPr/>
          <w:p>
            <w:pPr>
              <w:pStyle w:val="Compact"/>
            </w:pPr>
            <w:r>
              <w:t xml:space="preserve">A useful measure of underlying conversion as modular investment rises.</w:t>
            </w:r>
          </w:p>
        </w:tc>
      </w:tr>
      <w:tr>
        <w:tc>
          <w:tcPr/>
          <w:p>
            <w:pPr>
              <w:pStyle w:val="Compact"/>
            </w:pPr>
            <w:r>
              <w:t xml:space="preserve">Operating cash flow</w:t>
            </w:r>
          </w:p>
        </w:tc>
        <w:tc>
          <w:tcPr/>
          <w:p>
            <w:pPr>
              <w:pStyle w:val="Compact"/>
              <w:jc w:val="right"/>
            </w:pPr>
            <w:r>
              <w:t xml:space="preserve">$252M</w:t>
            </w:r>
          </w:p>
        </w:tc>
        <w:tc>
          <w:tcPr/>
          <w:p>
            <w:pPr>
              <w:pStyle w:val="Compact"/>
              <w:jc w:val="right"/>
            </w:pPr>
            <w:r>
              <w:t xml:space="preserve">$389M</w:t>
            </w:r>
          </w:p>
        </w:tc>
        <w:tc>
          <w:tcPr/>
          <w:p>
            <w:pPr>
              <w:pStyle w:val="Compact"/>
            </w:pPr>
            <w:r>
              <w:t xml:space="preserve">Working-capital timing and capital spending will shape cash conversion.</w:t>
            </w:r>
          </w:p>
        </w:tc>
      </w:tr>
      <w:tr>
        <w:tc>
          <w:tcPr/>
          <w:p>
            <w:pPr>
              <w:pStyle w:val="Compact"/>
            </w:pPr>
            <w:r>
              <w:t xml:space="preserve">Backlog</w:t>
            </w:r>
          </w:p>
        </w:tc>
        <w:tc>
          <w:tcPr/>
          <w:p>
            <w:pPr>
              <w:pStyle w:val="Compact"/>
              <w:jc w:val="right"/>
            </w:pPr>
            <w:r>
              <w:t xml:space="preserve">$8.12B at 2Q25 end</w:t>
            </w:r>
          </w:p>
        </w:tc>
        <w:tc>
          <w:tcPr/>
          <w:p>
            <w:pPr>
              <w:pStyle w:val="Compact"/>
              <w:jc w:val="right"/>
            </w:pPr>
            <w:r>
              <w:t xml:space="preserve">$12.45B at 1Q26 end</w:t>
            </w:r>
          </w:p>
        </w:tc>
        <w:tc>
          <w:tcPr/>
          <w:p>
            <w:pPr>
              <w:pStyle w:val="Compact"/>
            </w:pPr>
            <w:r>
              <w:t xml:space="preserve">The most important leading indicator for revenue durability.</w:t>
            </w:r>
          </w:p>
        </w:tc>
      </w:tr>
    </w:tbl>
    <w:bookmarkEnd w:id="10"/>
    <w:bookmarkStart w:id="16" w:name="what-investors-need-to-watch"/>
    <w:p>
      <w:pPr>
        <w:pStyle w:val="Heading2"/>
      </w:pPr>
      <w:r>
        <w:t xml:space="preserve">What investors need to watch</w:t>
      </w:r>
    </w:p>
    <w:bookmarkStart w:id="11" w:name="Xc0b2d0302e148305bd8a5cedc4a98b2949791b7"/>
    <w:p>
      <w:pPr>
        <w:pStyle w:val="Heading3"/>
      </w:pPr>
      <w:r>
        <w:t xml:space="preserve">1. Backlog: can bookings keep pace with a much larger revenue burn?</w:t>
      </w:r>
    </w:p>
    <w:p>
      <w:pPr>
        <w:pStyle w:val="FirstParagraph"/>
      </w:pPr>
      <w:r>
        <w:t xml:space="preserve">FIX ended 1Q with a record</w:t>
      </w:r>
      <w:r>
        <w:t xml:space="preserve"> </w:t>
      </w:r>
      <w:r>
        <w:rPr>
          <w:b/>
          <w:bCs/>
        </w:rPr>
        <w:t xml:space="preserve">$12.45B backlog</w:t>
      </w:r>
      <w:r>
        <w:t xml:space="preserve">, up 4% sequentially and 81% year over year. Roughly</w:t>
      </w:r>
      <w:r>
        <w:t xml:space="preserve"> </w:t>
      </w:r>
      <w:r>
        <w:rPr>
          <w:b/>
          <w:bCs/>
        </w:rPr>
        <w:t xml:space="preserve">65%–75%</w:t>
      </w:r>
      <w:r>
        <w:t xml:space="preserve"> </w:t>
      </w:r>
      <w:r>
        <w:t xml:space="preserve">of that backlog is expected to convert to revenue within the next 12 months. That gives the company unusually strong near-term visibility, but it also means quarterly backlog must be interpreted in the context of sharply higher revenue conversion.</w:t>
      </w:r>
    </w:p>
    <w:p>
      <w:pPr>
        <w:pStyle w:val="BodyText"/>
      </w:pPr>
      <w:r>
        <w:t xml:space="preserve">The key 2Q question is whether bookings remain sufficient to support another sequential backlog increase—or at least a stable backlog despite elevated burn. Commentary on the pipeline, customer commitment duration, and the mix of projects booked will be as important as the absolute dollar figure.</w:t>
      </w:r>
    </w:p>
    <w:p>
      <w:pPr>
        <w:pStyle w:val="BodyText"/>
      </w:pPr>
      <w:r>
        <w:t xml:space="preserve">Technology, primarily data-center work, accounted for</w:t>
      </w:r>
      <w:r>
        <w:t xml:space="preserve"> </w:t>
      </w:r>
      <w:r>
        <w:rPr>
          <w:b/>
          <w:bCs/>
        </w:rPr>
        <w:t xml:space="preserve">56% of 1Q revenue</w:t>
      </w:r>
      <w:r>
        <w:t xml:space="preserve"> </w:t>
      </w:r>
      <w:r>
        <w:t xml:space="preserve">and is the company’s largest source of pipeline and backlog. The bull case remains that FIX’s mechanical, electrical, and modular capabilities make it a capacity-constrained supplier to a multi-year infrastructure buildout. The risk is that the company’s results are increasingly tied to a concentrated end-market where power availability, construction scheduling, and customer capital-spending decisions can move project timing.</w:t>
      </w:r>
    </w:p>
    <w:bookmarkEnd w:id="11"/>
    <w:bookmarkStart w:id="12" w:name="Xf3aeb24be8148b7082ade312f62a1778d80f111"/>
    <w:p>
      <w:pPr>
        <w:pStyle w:val="Heading3"/>
      </w:pPr>
      <w:r>
        <w:t xml:space="preserve">2. Margin durability: separate core execution from favorable closeouts</w:t>
      </w:r>
    </w:p>
    <w:p>
      <w:pPr>
        <w:pStyle w:val="FirstParagraph"/>
      </w:pPr>
      <w:r>
        <w:t xml:space="preserve">First-quarter gross margin reached</w:t>
      </w:r>
      <w:r>
        <w:t xml:space="preserve"> </w:t>
      </w:r>
      <w:r>
        <w:rPr>
          <w:b/>
          <w:bCs/>
        </w:rPr>
        <w:t xml:space="preserve">26.3%</w:t>
      </w:r>
      <w:r>
        <w:t xml:space="preserve">, but management specifically identified roughly</w:t>
      </w:r>
      <w:r>
        <w:t xml:space="preserve"> </w:t>
      </w:r>
      <w:r>
        <w:rPr>
          <w:b/>
          <w:bCs/>
        </w:rPr>
        <w:t xml:space="preserve">$43M</w:t>
      </w:r>
      <w:r>
        <w:t xml:space="preserve"> </w:t>
      </w:r>
      <w:r>
        <w:t xml:space="preserve">of favorable late-stage project developments and change orders, concentrated primarily in Mechanical. Management characterized these benefits as non-recurring rather than a normal quarterly run rate, while indicating that margins should remain in the strong range achieved over recent quarters.</w:t>
      </w:r>
    </w:p>
    <w:p>
      <w:pPr>
        <w:pStyle w:val="BodyText"/>
      </w:pPr>
      <w:r>
        <w:t xml:space="preserve">For 2Q, investors should focus on:</w:t>
      </w:r>
    </w:p>
    <w:p>
      <w:pPr>
        <w:pStyle w:val="Compact"/>
        <w:numPr>
          <w:ilvl w:val="0"/>
          <w:numId w:val="1001"/>
        </w:numPr>
      </w:pPr>
      <w:r>
        <w:rPr>
          <w:b/>
          <w:bCs/>
        </w:rPr>
        <w:t xml:space="preserve">Gross margin relative to the roughly 25% underlying range</w:t>
      </w:r>
      <w:r>
        <w:t xml:space="preserve"> </w:t>
      </w:r>
      <w:r>
        <w:t xml:space="preserve">implied by management’s 1Q discussion;</w:t>
      </w:r>
    </w:p>
    <w:p>
      <w:pPr>
        <w:pStyle w:val="Compact"/>
        <w:numPr>
          <w:ilvl w:val="0"/>
          <w:numId w:val="1001"/>
        </w:numPr>
      </w:pPr>
      <w:r>
        <w:t xml:space="preserve">Mechanical versus Electrical margin trends;</w:t>
      </w:r>
    </w:p>
    <w:p>
      <w:pPr>
        <w:pStyle w:val="Compact"/>
        <w:numPr>
          <w:ilvl w:val="0"/>
          <w:numId w:val="1001"/>
        </w:numPr>
      </w:pPr>
      <w:r>
        <w:t xml:space="preserve">SG&amp;A leverage as revenue expands;</w:t>
      </w:r>
    </w:p>
    <w:p>
      <w:pPr>
        <w:pStyle w:val="Compact"/>
        <w:numPr>
          <w:ilvl w:val="0"/>
          <w:numId w:val="1001"/>
        </w:numPr>
      </w:pPr>
      <w:r>
        <w:t xml:space="preserve">Whether project closeouts again contribute materially to results; and</w:t>
      </w:r>
    </w:p>
    <w:p>
      <w:pPr>
        <w:pStyle w:val="Compact"/>
        <w:numPr>
          <w:ilvl w:val="0"/>
          <w:numId w:val="1001"/>
        </w:numPr>
      </w:pPr>
      <w:r>
        <w:t xml:space="preserve">Any indication that fixed-price project estimates, labor productivity, or supply-chain costs are becoming less favorable.</w:t>
      </w:r>
    </w:p>
    <w:p>
      <w:pPr>
        <w:pStyle w:val="FirstParagraph"/>
      </w:pPr>
      <w:r>
        <w:t xml:space="preserve">The constructive read-through is that FIX has become more selective in the work it accepts and increasingly works with repeat customers on familiar project types. The counterpoint is that a larger share of its business now consists of very large, complex projects, where estimate revisions can create meaningful quarterly volatility under cost-to-cost accounting.</w:t>
      </w:r>
    </w:p>
    <w:bookmarkEnd w:id="12"/>
    <w:bookmarkStart w:id="13" w:name="X35c11f46ad69ed3b1e7e3da918dc69881c97886"/>
    <w:p>
      <w:pPr>
        <w:pStyle w:val="Heading3"/>
      </w:pPr>
      <w:r>
        <w:t xml:space="preserve">3. Guidance is the primary catalyst</w:t>
      </w:r>
    </w:p>
    <w:p>
      <w:pPr>
        <w:pStyle w:val="FirstParagraph"/>
      </w:pPr>
      <w:r>
        <w:t xml:space="preserve">After 1Q, management said it expected</w:t>
      </w:r>
      <w:r>
        <w:t xml:space="preserve"> </w:t>
      </w:r>
      <w:r>
        <w:rPr>
          <w:b/>
          <w:bCs/>
        </w:rPr>
        <w:t xml:space="preserve">full-year 2026 same-store revenue growth in the mid-to-high 20% range</w:t>
      </w:r>
      <w:r>
        <w:t xml:space="preserve">. That outlook already contemplated more difficult comparisons in the second half of the year.</w:t>
      </w:r>
    </w:p>
    <w:p>
      <w:pPr>
        <w:pStyle w:val="BodyText"/>
      </w:pPr>
      <w:r>
        <w:t xml:space="preserve">The 2Q report should clarify whether:</w:t>
      </w:r>
    </w:p>
    <w:p>
      <w:pPr>
        <w:pStyle w:val="Compact"/>
        <w:numPr>
          <w:ilvl w:val="0"/>
          <w:numId w:val="1002"/>
        </w:numPr>
      </w:pPr>
      <w:r>
        <w:t xml:space="preserve">1Q’s 51% same-store growth was an exceptional peak or a signal that full-year guidance is conservative;</w:t>
      </w:r>
    </w:p>
    <w:p>
      <w:pPr>
        <w:pStyle w:val="Compact"/>
        <w:numPr>
          <w:ilvl w:val="0"/>
          <w:numId w:val="1002"/>
        </w:numPr>
      </w:pPr>
      <w:r>
        <w:t xml:space="preserve">the company is willing to raise its organic-growth outlook;</w:t>
      </w:r>
    </w:p>
    <w:p>
      <w:pPr>
        <w:pStyle w:val="Compact"/>
        <w:numPr>
          <w:ilvl w:val="0"/>
          <w:numId w:val="1002"/>
        </w:numPr>
      </w:pPr>
      <w:r>
        <w:t xml:space="preserve">management still expects elevated gross margins for the balance of 2026; and</w:t>
      </w:r>
    </w:p>
    <w:p>
      <w:pPr>
        <w:pStyle w:val="Compact"/>
        <w:numPr>
          <w:ilvl w:val="0"/>
          <w:numId w:val="1002"/>
        </w:numPr>
      </w:pPr>
      <w:r>
        <w:t xml:space="preserve">labor availability, rather than customer demand, remains the binding constraint.</w:t>
      </w:r>
    </w:p>
    <w:p>
      <w:pPr>
        <w:pStyle w:val="FirstParagraph"/>
      </w:pPr>
      <w:r>
        <w:t xml:space="preserve">A guidance increase would likely matter more to the stock than a modest quarterly EPS outperformance. Conversely, maintained guidance may disappoint if investors have priced in another material upward revision.</w:t>
      </w:r>
    </w:p>
    <w:bookmarkEnd w:id="13"/>
    <w:bookmarkStart w:id="14" w:name="X9676d88a56ad8a8ac2716d20e001e838954f44c"/>
    <w:p>
      <w:pPr>
        <w:pStyle w:val="Heading3"/>
      </w:pPr>
      <w:r>
        <w:t xml:space="preserve">4. Modular capacity investment: strategically positive, but a near-term cash-flow callout</w:t>
      </w:r>
    </w:p>
    <w:p>
      <w:pPr>
        <w:pStyle w:val="FirstParagraph"/>
      </w:pPr>
      <w:r>
        <w:t xml:space="preserve">FIX is investing aggressively to serve customer demand. In 1Q it spent</w:t>
      </w:r>
      <w:r>
        <w:t xml:space="preserve"> </w:t>
      </w:r>
      <w:r>
        <w:rPr>
          <w:b/>
          <w:bCs/>
        </w:rPr>
        <w:t xml:space="preserve">$147M of capital expenditures</w:t>
      </w:r>
      <w:r>
        <w:t xml:space="preserve">, including the purchase of a large Texas modular-assembly facility, and guided to full-year CapEx of roughly</w:t>
      </w:r>
      <w:r>
        <w:t xml:space="preserve"> </w:t>
      </w:r>
      <w:r>
        <w:rPr>
          <w:b/>
          <w:bCs/>
        </w:rPr>
        <w:t xml:space="preserve">5% of revenue</w:t>
      </w:r>
      <w:r>
        <w:t xml:space="preserve">. Management expects to reach</w:t>
      </w:r>
      <w:r>
        <w:t xml:space="preserve"> </w:t>
      </w:r>
      <w:r>
        <w:rPr>
          <w:b/>
          <w:bCs/>
        </w:rPr>
        <w:t xml:space="preserve">4 million square feet of modular capacity by year-end 2026</w:t>
      </w:r>
      <w:r>
        <w:t xml:space="preserve"> </w:t>
      </w:r>
      <w:r>
        <w:t xml:space="preserve">and is evaluating additional capacity.</w:t>
      </w:r>
    </w:p>
    <w:p>
      <w:pPr>
        <w:pStyle w:val="BodyText"/>
      </w:pPr>
      <w:r>
        <w:t xml:space="preserve">This is strategically important: modular fabrication can improve speed, repeatability, labor efficiency, and customer stickiness in large technology projects. It also supports the argument that the current demand cycle is durable enough to justify owned facilities and automation investment.</w:t>
      </w:r>
    </w:p>
    <w:p>
      <w:pPr>
        <w:pStyle w:val="BodyText"/>
      </w:pPr>
      <w:r>
        <w:t xml:space="preserve">However, investors should expect cash flow to be less linear than earnings. The 2Q watch items are:</w:t>
      </w:r>
    </w:p>
    <w:p>
      <w:pPr>
        <w:pStyle w:val="Compact"/>
        <w:numPr>
          <w:ilvl w:val="0"/>
          <w:numId w:val="1003"/>
        </w:numPr>
      </w:pPr>
      <w:r>
        <w:t xml:space="preserve">CapEx as a percent of revenue;</w:t>
      </w:r>
    </w:p>
    <w:p>
      <w:pPr>
        <w:pStyle w:val="Compact"/>
        <w:numPr>
          <w:ilvl w:val="0"/>
          <w:numId w:val="1003"/>
        </w:numPr>
      </w:pPr>
      <w:r>
        <w:t xml:space="preserve">free-cash-flow conversion after elevated investment;</w:t>
      </w:r>
    </w:p>
    <w:p>
      <w:pPr>
        <w:pStyle w:val="Compact"/>
        <w:numPr>
          <w:ilvl w:val="0"/>
          <w:numId w:val="1003"/>
        </w:numPr>
      </w:pPr>
      <w:r>
        <w:t xml:space="preserve">customer commitments supporting new modular capacity; and</w:t>
      </w:r>
    </w:p>
    <w:p>
      <w:pPr>
        <w:pStyle w:val="Compact"/>
        <w:numPr>
          <w:ilvl w:val="0"/>
          <w:numId w:val="1003"/>
        </w:numPr>
      </w:pPr>
      <w:r>
        <w:t xml:space="preserve">whether the company provides more detail on utilization, returns, or multi-year customer agreements.</w:t>
      </w:r>
    </w:p>
    <w:bookmarkEnd w:id="14"/>
    <w:bookmarkStart w:id="15" w:name="Xad6da5d9afa23050492715b7bd4f204427e8cba"/>
    <w:p>
      <w:pPr>
        <w:pStyle w:val="Heading3"/>
      </w:pPr>
      <w:r>
        <w:t xml:space="preserve">5. Electrical growth and M&amp;A contribution</w:t>
      </w:r>
    </w:p>
    <w:p>
      <w:pPr>
        <w:pStyle w:val="FirstParagraph"/>
      </w:pPr>
      <w:r>
        <w:t xml:space="preserve">The Electrical segment grew revenue</w:t>
      </w:r>
      <w:r>
        <w:t xml:space="preserve"> </w:t>
      </w:r>
      <w:r>
        <w:rPr>
          <w:b/>
          <w:bCs/>
        </w:rPr>
        <w:t xml:space="preserve">88%</w:t>
      </w:r>
      <w:r>
        <w:t xml:space="preserve"> </w:t>
      </w:r>
      <w:r>
        <w:t xml:space="preserve">in 1Q, supported by organic activity and the prior-year Feyen-Zylstra and Meisner acquisitions. Management also said in April that a new Western U.S. electrical contractor acquisition, expected to contribute roughly</w:t>
      </w:r>
      <w:r>
        <w:t xml:space="preserve"> </w:t>
      </w:r>
      <w:r>
        <w:rPr>
          <w:b/>
          <w:bCs/>
        </w:rPr>
        <w:t xml:space="preserve">$250M of annualized revenue</w:t>
      </w:r>
      <w:r>
        <w:t xml:space="preserve"> </w:t>
      </w:r>
      <w:r>
        <w:t xml:space="preserve">at</w:t>
      </w:r>
      <w:r>
        <w:t xml:space="preserve"> </w:t>
      </w:r>
      <w:r>
        <w:rPr>
          <w:b/>
          <w:bCs/>
        </w:rPr>
        <w:t xml:space="preserve">8%–10% EBITDA margins</w:t>
      </w:r>
      <w:r>
        <w:t xml:space="preserve">, was expected to close in early May.</w:t>
      </w:r>
    </w:p>
    <w:p>
      <w:pPr>
        <w:pStyle w:val="BodyText"/>
      </w:pPr>
      <w:r>
        <w:t xml:space="preserve">2Q should be the first meaningful opportunity to assess that acquisition’s contribution. Investors should distinguish between:</w:t>
      </w:r>
    </w:p>
    <w:p>
      <w:pPr>
        <w:pStyle w:val="Compact"/>
        <w:numPr>
          <w:ilvl w:val="0"/>
          <w:numId w:val="1004"/>
        </w:numPr>
      </w:pPr>
      <w:r>
        <w:t xml:space="preserve">reported growth, which benefits from acquisitions;</w:t>
      </w:r>
    </w:p>
    <w:p>
      <w:pPr>
        <w:pStyle w:val="Compact"/>
        <w:numPr>
          <w:ilvl w:val="0"/>
          <w:numId w:val="1004"/>
        </w:numPr>
      </w:pPr>
      <w:r>
        <w:t xml:space="preserve">same-store growth, which is the cleaner indicator of underlying demand; and</w:t>
      </w:r>
    </w:p>
    <w:p>
      <w:pPr>
        <w:pStyle w:val="Compact"/>
        <w:numPr>
          <w:ilvl w:val="0"/>
          <w:numId w:val="1004"/>
        </w:numPr>
      </w:pPr>
      <w:r>
        <w:t xml:space="preserve">acquired-margin dilution or accretion relative to the exceptional consolidated 1Q margin profile.</w:t>
      </w:r>
    </w:p>
    <w:bookmarkEnd w:id="15"/>
    <w:bookmarkEnd w:id="16"/>
    <w:bookmarkStart w:id="17" w:name="Xf5bf206df0f8ffa8a15d42a2fc12cb44d5fd554"/>
    <w:p>
      <w:pPr>
        <w:pStyle w:val="Heading2"/>
      </w:pPr>
      <w:r>
        <w:t xml:space="preserve">Financial position supports the growth plan</w:t>
      </w:r>
    </w:p>
    <w:p>
      <w:pPr>
        <w:pStyle w:val="FirstParagraph"/>
      </w:pPr>
      <w:r>
        <w:t xml:space="preserve">FIX entered 2Q with</w:t>
      </w:r>
      <w:r>
        <w:t xml:space="preserve"> </w:t>
      </w:r>
      <m:oMath>
        <m:r>
          <m:t>1.05</m:t>
        </m:r>
        <m:r>
          <m:t>B</m:t>
        </m:r>
        <m:r>
          <m:t>o</m:t>
        </m:r>
        <m:r>
          <m:t>f</m:t>
        </m:r>
        <m:r>
          <m:t>c</m:t>
        </m:r>
        <m:r>
          <m:t>a</m:t>
        </m:r>
        <m:r>
          <m:t>s</m:t>
        </m:r>
        <m:r>
          <m:t>h</m:t>
        </m:r>
        <m:r>
          <m:rPr>
            <m:sty m:val="p"/>
          </m:rPr>
          <m:t>*</m:t>
        </m:r>
        <m:r>
          <m:rPr>
            <m:sty m:val="p"/>
          </m:rPr>
          <m:t>*</m:t>
        </m:r>
        <m:r>
          <m:rPr>
            <m:sty m:val="p"/>
          </m:rPr>
          <m:t>,</m:t>
        </m:r>
        <m:r>
          <m:t>o</m:t>
        </m:r>
        <m:r>
          <m:t>n</m:t>
        </m:r>
        <m:r>
          <m:t>l</m:t>
        </m:r>
        <m:r>
          <m:t>y</m:t>
        </m:r>
        <m:r>
          <m:t>a</m:t>
        </m:r>
        <m:r>
          <m:t>b</m:t>
        </m:r>
        <m:r>
          <m:t>o</m:t>
        </m:r>
        <m:r>
          <m:t>u</m:t>
        </m:r>
        <m:r>
          <m:t>t</m:t>
        </m:r>
        <m:r>
          <m:rPr>
            <m:sty m:val="p"/>
          </m:rPr>
          <m:t>*</m:t>
        </m:r>
        <m:r>
          <m:rPr>
            <m:sty m:val="p"/>
          </m:rPr>
          <m:t>*</m:t>
        </m:r>
      </m:oMath>
      <w:r>
        <w:rPr>
          <w:b/>
          <w:bCs/>
        </w:rPr>
        <w:t xml:space="preserve">39M of debt</w:t>
      </w:r>
      <w:r>
        <w:t xml:space="preserve">, no borrowings on its revolving credit facility, and approximately</w:t>
      </w:r>
      <w:r>
        <w:t xml:space="preserve"> </w:t>
      </w:r>
      <w:r>
        <w:rPr>
          <w:b/>
          <w:bCs/>
        </w:rPr>
        <w:t xml:space="preserve">$1.02B of available borrowing capacity</w:t>
      </w:r>
      <w:r>
        <w:t xml:space="preserve">. This balance-sheet strength gives the company flexibility to fund capacity investments, acquisitions, dividends, and opportunistic repurchases without compromising operations.</w:t>
      </w:r>
    </w:p>
    <w:p>
      <w:pPr>
        <w:pStyle w:val="BodyText"/>
      </w:pPr>
      <w:r>
        <w:t xml:space="preserve">That financial flexibility is a genuine differentiator in a fragmented contracting industry. It also helps FIX take on larger projects and provide customers with confidence in its execution capacity.</w:t>
      </w:r>
    </w:p>
    <w:bookmarkEnd w:id="17"/>
    <w:bookmarkStart w:id="21" w:name="bull-base-and-bear-read-throughs"/>
    <w:p>
      <w:pPr>
        <w:pStyle w:val="Heading2"/>
      </w:pPr>
      <w:r>
        <w:t xml:space="preserve">Bull, base, and bear read-throughs</w:t>
      </w:r>
    </w:p>
    <w:bookmarkStart w:id="18" w:name="bull-case"/>
    <w:p>
      <w:pPr>
        <w:pStyle w:val="Heading3"/>
      </w:pPr>
      <w:r>
        <w:t xml:space="preserve">Bull case</w:t>
      </w:r>
    </w:p>
    <w:p>
      <w:pPr>
        <w:pStyle w:val="Compact"/>
        <w:numPr>
          <w:ilvl w:val="0"/>
          <w:numId w:val="1005"/>
        </w:numPr>
      </w:pPr>
      <w:r>
        <w:t xml:space="preserve">Backlog grows again despite heavy revenue conversion;</w:t>
      </w:r>
    </w:p>
    <w:p>
      <w:pPr>
        <w:pStyle w:val="Compact"/>
        <w:numPr>
          <w:ilvl w:val="0"/>
          <w:numId w:val="1005"/>
        </w:numPr>
      </w:pPr>
      <w:r>
        <w:t xml:space="preserve">technology and modular pipelines remain broad geographically and across customers;</w:t>
      </w:r>
    </w:p>
    <w:p>
      <w:pPr>
        <w:pStyle w:val="Compact"/>
        <w:numPr>
          <w:ilvl w:val="0"/>
          <w:numId w:val="1005"/>
        </w:numPr>
      </w:pPr>
      <w:r>
        <w:t xml:space="preserve">gross margin remains around the mid-20% area without relying on unusually large closeout gains;</w:t>
      </w:r>
    </w:p>
    <w:p>
      <w:pPr>
        <w:pStyle w:val="Compact"/>
        <w:numPr>
          <w:ilvl w:val="0"/>
          <w:numId w:val="1005"/>
        </w:numPr>
      </w:pPr>
      <w:r>
        <w:t xml:space="preserve">organic growth guidance rises above the current mid-to-high-20% range; and</w:t>
      </w:r>
    </w:p>
    <w:p>
      <w:pPr>
        <w:pStyle w:val="Compact"/>
        <w:numPr>
          <w:ilvl w:val="0"/>
          <w:numId w:val="1005"/>
        </w:numPr>
      </w:pPr>
      <w:r>
        <w:t xml:space="preserve">management reinforces confidence in modular-capacity utilization and returns.</w:t>
      </w:r>
    </w:p>
    <w:bookmarkEnd w:id="18"/>
    <w:bookmarkStart w:id="19" w:name="base-case"/>
    <w:p>
      <w:pPr>
        <w:pStyle w:val="Heading3"/>
      </w:pPr>
      <w:r>
        <w:t xml:space="preserve">Base case</w:t>
      </w:r>
    </w:p>
    <w:p>
      <w:pPr>
        <w:pStyle w:val="Compact"/>
        <w:numPr>
          <w:ilvl w:val="0"/>
          <w:numId w:val="1006"/>
        </w:numPr>
      </w:pPr>
      <w:r>
        <w:t xml:space="preserve">Strong year-over-year growth against the $2.17B 2Q25 revenue base;</w:t>
      </w:r>
    </w:p>
    <w:p>
      <w:pPr>
        <w:pStyle w:val="Compact"/>
        <w:numPr>
          <w:ilvl w:val="0"/>
          <w:numId w:val="1006"/>
        </w:numPr>
      </w:pPr>
      <w:r>
        <w:t xml:space="preserve">backlog remains broadly stable to modestly higher;</w:t>
      </w:r>
    </w:p>
    <w:p>
      <w:pPr>
        <w:pStyle w:val="Compact"/>
        <w:numPr>
          <w:ilvl w:val="0"/>
          <w:numId w:val="1006"/>
        </w:numPr>
      </w:pPr>
      <w:r>
        <w:t xml:space="preserve">margins normalize modestly from the 1Q peak but remain historically elevated;</w:t>
      </w:r>
    </w:p>
    <w:p>
      <w:pPr>
        <w:pStyle w:val="Compact"/>
        <w:numPr>
          <w:ilvl w:val="0"/>
          <w:numId w:val="1006"/>
        </w:numPr>
      </w:pPr>
      <w:r>
        <w:t xml:space="preserve">guidance is maintained because management continues to prioritize labor capacity, execution, and project selectivity over maximizing revenue.</w:t>
      </w:r>
    </w:p>
    <w:bookmarkEnd w:id="19"/>
    <w:bookmarkStart w:id="20" w:name="bear-case"/>
    <w:p>
      <w:pPr>
        <w:pStyle w:val="Heading3"/>
      </w:pPr>
      <w:r>
        <w:t xml:space="preserve">Bear case</w:t>
      </w:r>
    </w:p>
    <w:p>
      <w:pPr>
        <w:pStyle w:val="Compact"/>
        <w:numPr>
          <w:ilvl w:val="0"/>
          <w:numId w:val="1007"/>
        </w:numPr>
      </w:pPr>
      <w:r>
        <w:t xml:space="preserve">Backlog declines meaningfully after adjusting for normal quarterly burn;</w:t>
      </w:r>
    </w:p>
    <w:p>
      <w:pPr>
        <w:pStyle w:val="Compact"/>
        <w:numPr>
          <w:ilvl w:val="0"/>
          <w:numId w:val="1007"/>
        </w:numPr>
      </w:pPr>
      <w:r>
        <w:t xml:space="preserve">margin normalization is sharper than expected as 1Q closeout benefits fade;</w:t>
      </w:r>
    </w:p>
    <w:p>
      <w:pPr>
        <w:pStyle w:val="Compact"/>
        <w:numPr>
          <w:ilvl w:val="0"/>
          <w:numId w:val="1007"/>
        </w:numPr>
      </w:pPr>
      <w:r>
        <w:t xml:space="preserve">labor or equipment constraints restrict conversion or inflate costs;</w:t>
      </w:r>
    </w:p>
    <w:p>
      <w:pPr>
        <w:pStyle w:val="Compact"/>
        <w:numPr>
          <w:ilvl w:val="0"/>
          <w:numId w:val="1007"/>
        </w:numPr>
      </w:pPr>
      <w:r>
        <w:t xml:space="preserve">management points to delayed technology projects, power constraints, or softer bookings; or</w:t>
      </w:r>
    </w:p>
    <w:p>
      <w:pPr>
        <w:pStyle w:val="Compact"/>
        <w:numPr>
          <w:ilvl w:val="0"/>
          <w:numId w:val="1007"/>
        </w:numPr>
      </w:pPr>
      <w:r>
        <w:t xml:space="preserve">high CapEx and working-capital investment reduce cash conversion more than expected.</w:t>
      </w:r>
    </w:p>
    <w:bookmarkEnd w:id="20"/>
    <w:bookmarkEnd w:id="21"/>
    <w:bookmarkStart w:id="22" w:name="bottom-line"/>
    <w:p>
      <w:pPr>
        <w:pStyle w:val="Heading2"/>
      </w:pPr>
      <w:r>
        <w:t xml:space="preserve">Bottom line</w:t>
      </w:r>
    </w:p>
    <w:p>
      <w:pPr>
        <w:pStyle w:val="FirstParagraph"/>
      </w:pPr>
      <w:r>
        <w:t xml:space="preserve">FIX remains one of the clearest public-market beneficiaries of U.S. data-center, advanced-manufacturing, and electrical-infrastructure investment. Its record backlog, strong balance sheet, and expanding modular footprint provide substantial support for continued growth.</w:t>
      </w:r>
    </w:p>
    <w:p>
      <w:pPr>
        <w:pStyle w:val="BodyText"/>
      </w:pPr>
      <w:r>
        <w:t xml:space="preserve">But the valuation debate has shifted: investors now need evidence that</w:t>
      </w:r>
      <w:r>
        <w:t xml:space="preserve"> </w:t>
      </w:r>
      <w:r>
        <w:rPr>
          <w:b/>
          <w:bCs/>
        </w:rPr>
        <w:t xml:space="preserve">elevated margins and high organic growth can persist beyond a single exceptional quarter</w:t>
      </w:r>
      <w:r>
        <w:t xml:space="preserve">. For 2Q, the highest-value datapoints will be</w:t>
      </w:r>
      <w:r>
        <w:t xml:space="preserve"> </w:t>
      </w:r>
      <w:r>
        <w:rPr>
          <w:b/>
          <w:bCs/>
        </w:rPr>
        <w:t xml:space="preserve">backlog growth, core gross-margin durability, updated full-year organic-growth guidance, and the economics of modular-capacity expansion</w:t>
      </w:r>
      <w:r>
        <w:t xml:space="preserve">—not merely the reported EPS number.</w:t>
      </w:r>
    </w:p>
    <w:p>
      <w:pPr>
        <w:pStyle w:val="BodyText"/>
      </w:pPr>
      <w:r>
        <w:rPr>
          <w:i/>
          <w:iCs/>
        </w:rPr>
        <w:t xml:space="preserve">Source materials: Comfort Systems USA 1Q26 earnings release, earnings-call transcript, 1Q26 Form 10-Q, 2Q25 earnings release, FY25 earnings release, and historical share-price data.</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2026-07-23T01:13:31Z</dcterms:created>
  <dcterms:modified xsi:type="dcterms:W3CDTF">2026-07-23T01:13:31Z</dcterms:modified>
</cp:coreProperties>
</file>

<file path=docProps/custom.xml><?xml version="1.0" encoding="utf-8"?>
<Properties xmlns="http://schemas.openxmlformats.org/officeDocument/2006/custom-properties" xmlns:vt="http://schemas.openxmlformats.org/officeDocument/2006/docPropsVTypes"/>
</file>