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Earnings Preview — Comfort Systems USA (FIX)</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Comfort Systems USA, Inc.</w:t>
            </w:r>
          </w:p>
        </w:tc>
      </w:tr>
      <w:tr>
        <w:tc>
          <w:tcPr>
            <w:tcW w:type="dxa" w:w="4320"/>
          </w:tcPr>
          <w:p>
            <w:r>
              <w:rPr>
                <w:rFonts w:ascii="Calibri" w:hAnsi="Calibri"/>
                <w:b/>
                <w:sz w:val="22"/>
              </w:rPr>
              <w:t>Ticker</w:t>
            </w:r>
          </w:p>
        </w:tc>
        <w:tc>
          <w:tcPr>
            <w:tcW w:type="dxa" w:w="4320"/>
          </w:tcPr>
          <w:p>
            <w:r>
              <w:rPr>
                <w:rFonts w:ascii="Calibri" w:hAnsi="Calibri"/>
                <w:sz w:val="22"/>
              </w:rPr>
              <w:t>FIX (NYSE)</w:t>
            </w:r>
          </w:p>
        </w:tc>
      </w:tr>
      <w:tr>
        <w:tc>
          <w:tcPr>
            <w:tcW w:type="dxa" w:w="4320"/>
          </w:tcPr>
          <w:p>
            <w:r>
              <w:rPr>
                <w:rFonts w:ascii="Calibri" w:hAnsi="Calibri"/>
                <w:b/>
                <w:sz w:val="22"/>
              </w:rPr>
              <w:t>Upcoming Earnings</w:t>
            </w:r>
          </w:p>
        </w:tc>
        <w:tc>
          <w:tcPr>
            <w:tcW w:type="dxa" w:w="4320"/>
          </w:tcPr>
          <w:p>
            <w:r>
              <w:rPr>
                <w:rFonts w:ascii="Calibri" w:hAnsi="Calibri"/>
                <w:sz w:val="22"/>
              </w:rPr>
              <w:t>July 24, 2026 — Q2 2026 Earnings Call (11:00 AM ET)</w:t>
            </w:r>
          </w:p>
        </w:tc>
      </w:tr>
      <w:tr>
        <w:tc>
          <w:tcPr>
            <w:tcW w:type="dxa" w:w="4320"/>
          </w:tcPr>
          <w:p>
            <w:r>
              <w:rPr>
                <w:rFonts w:ascii="Calibri" w:hAnsi="Calibri"/>
                <w:b/>
                <w:sz w:val="22"/>
              </w:rPr>
              <w:t>Last Earnings</w:t>
            </w:r>
          </w:p>
        </w:tc>
        <w:tc>
          <w:tcPr>
            <w:tcW w:type="dxa" w:w="4320"/>
          </w:tcPr>
          <w:p>
            <w:r>
              <w:rPr>
                <w:rFonts w:ascii="Calibri" w:hAnsi="Calibri"/>
                <w:sz w:val="22"/>
              </w:rPr>
              <w:t>April 23, 2026 — Q1 2026</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constructive but the bar is high — consensus expects ~$2.97B in revenue (+37% YoY) and ~$10.60 in operating EPS, and the single biggest swing factor is whether gross margins can sustain near the record 26.3% Q1 level (ex-one-timers ~25.2%) given the $43M in non-recurring Q1 items that will not repeat.</w:t>
      </w:r>
    </w:p>
    <w:p>
      <w:r>
        <w:rPr>
          <w:rFonts w:ascii="Calibri" w:hAnsi="Calibri"/>
          <w:color w:val="525866"/>
          <w:sz w:val="22"/>
        </w:rPr>
        <w:t xml:space="preserve">Heading into Q2 2026, Comfort Systems is executing at peak performance with a record $12.5B backlog, technology sector revenue at 56% of the mix, and full-year same-store revenue guidance raised to mid-to-high-twenties growth — yet the bar consensus has set is demanding. </w:t>
      </w:r>
      <w:r>
        <w:rPr>
          <w:rFonts w:ascii="Calibri" w:hAnsi="Calibri"/>
          <w:b/>
          <w:color w:val="525866"/>
          <w:sz w:val="22"/>
        </w:rPr>
        <w:t>Revenue consensus of ~$2.97B implies ~37% YoY growth</w:t>
      </w:r>
      <w:r>
        <w:rPr>
          <w:rFonts w:ascii="Calibri" w:hAnsi="Calibri"/>
          <w:color w:val="525866"/>
          <w:sz w:val="22"/>
        </w:rPr>
        <w:t xml:space="preserve">, a step-up from Q1’s 56% comp but still a very high absolute hurdle; management’s tone on the Q1 call was emphatic about demand (“unprecedented”) and confident on margins (“continue in the strong ranges”), with no post-earnings guidance revision suggesting the company is comfortable with the trajectory. Estimate revisions have been modestly positive since the Q1 print — Q2 consensus revenue ticked up slightly from $2.977B to $2.971B while full-year EPS held at $43.43 — suggesting the Street is largely in line with management’s framing rather than running ahead of it. </w:t>
      </w:r>
      <w:r>
        <w:rPr>
          <w:rFonts w:ascii="Calibri" w:hAnsi="Calibri"/>
          <w:b/>
          <w:color w:val="525866"/>
          <w:sz w:val="22"/>
        </w:rPr>
        <w:t>The stock has essentially flatlined since the Q1 print (+1.0% vs. SPY +5.5% and XLI +2.7%)</w:t>
      </w:r>
      <w:r>
        <w:rPr>
          <w:rFonts w:ascii="Calibri" w:hAnsi="Calibri"/>
          <w:color w:val="525866"/>
          <w:sz w:val="22"/>
        </w:rPr>
        <w:t xml:space="preserve">, meaning the market has not pre-priced a beat, which is a relatively clean setup. The key wildcard is </w:t>
      </w:r>
      <w:r>
        <w:rPr>
          <w:rFonts w:ascii="Calibri" w:hAnsi="Calibri"/>
          <w:b/>
          <w:color w:val="525866"/>
          <w:sz w:val="22"/>
        </w:rPr>
        <w:t>gross margin: Q1 included ~$43M in non-recurring favorable change orders that management explicitly flagged as “not repeatable,” implying a normalized Q1 margin of ~25.2%; if Q2 margins print at or above that level on a clean basis, the stock should react positively, but any perception that margins are reverting toward the low-to-mid 20s would be a meaningful negative given the premium multiple.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sets a high bar on revenue (~$2.97B, +37% YoY) but the bigger swing factor is gross margin — the Street is modeling ~25.2% for Q2, which is achievable on a clean basis but leaves no room for execution slippage given the non-recurring Q1 tailwind is gone.</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$2.865B</w:t>
            </w:r>
          </w:p>
        </w:tc>
        <w:tc>
          <w:tcPr>
            <w:tcW w:type="dxa" w:w="1234"/>
          </w:tcPr>
          <w:p>
            <w:r>
              <w:rPr>
                <w:rFonts w:ascii="Calibri" w:hAnsi="Calibri"/>
                <w:sz w:val="22"/>
              </w:rPr>
              <w:t>$2.173B</w:t>
            </w:r>
          </w:p>
        </w:tc>
        <w:tc>
          <w:tcPr>
            <w:tcW w:type="dxa" w:w="1234"/>
          </w:tcPr>
          <w:p>
            <w:r>
              <w:rPr>
                <w:rFonts w:ascii="Calibri" w:hAnsi="Calibri"/>
                <w:sz w:val="22"/>
              </w:rPr>
              <w:t>$2.971B</w:t>
            </w:r>
          </w:p>
        </w:tc>
        <w:tc>
          <w:tcPr>
            <w:tcW w:type="dxa" w:w="1234"/>
          </w:tcPr>
          <w:p>
            <w:r>
              <w:rPr>
                <w:rFonts w:ascii="Calibri" w:hAnsi="Calibri"/>
                <w:sz w:val="22"/>
              </w:rPr>
              <w:t>+36.7%</w:t>
            </w:r>
          </w:p>
        </w:tc>
        <w:tc>
          <w:tcPr>
            <w:tcW w:type="dxa" w:w="1234"/>
          </w:tcPr>
          <w:p>
            <w:r>
              <w:rPr>
                <w:rFonts w:ascii="Calibri" w:hAnsi="Calibri"/>
                <w:sz w:val="22"/>
              </w:rPr>
              <w:t>Mid-to-high 20s% SS growth FY2026</w:t>
            </w:r>
          </w:p>
        </w:tc>
        <w:tc>
          <w:tcPr>
            <w:tcW w:type="dxa" w:w="1234"/>
          </w:tcPr>
          <w:p>
            <w:r>
              <w:rPr>
                <w:rFonts w:ascii="Calibri" w:hAnsi="Calibri"/>
                <w:sz w:val="22"/>
              </w:rPr>
              <w:t>In line / above implied</w:t>
            </w:r>
          </w:p>
        </w:tc>
      </w:tr>
      <w:tr>
        <w:tc>
          <w:tcPr>
            <w:tcW w:type="dxa" w:w="1234"/>
          </w:tcPr>
          <w:p>
            <w:r>
              <w:rPr>
                <w:rFonts w:ascii="Calibri" w:hAnsi="Calibri"/>
                <w:sz w:val="22"/>
              </w:rPr>
              <w:t>Gross Profit ($M)</w:t>
            </w:r>
          </w:p>
        </w:tc>
        <w:tc>
          <w:tcPr>
            <w:tcW w:type="dxa" w:w="1234"/>
          </w:tcPr>
          <w:p>
            <w:r>
              <w:rPr>
                <w:rFonts w:ascii="Calibri" w:hAnsi="Calibri"/>
                <w:sz w:val="22"/>
              </w:rPr>
              <w:t>$754.4M</w:t>
            </w:r>
          </w:p>
        </w:tc>
        <w:tc>
          <w:tcPr>
            <w:tcW w:type="dxa" w:w="1234"/>
          </w:tcPr>
          <w:p>
            <w:r>
              <w:rPr>
                <w:rFonts w:ascii="Calibri" w:hAnsi="Calibri"/>
                <w:sz w:val="22"/>
              </w:rPr>
              <w:t>$509.9M</w:t>
            </w:r>
          </w:p>
        </w:tc>
        <w:tc>
          <w:tcPr>
            <w:tcW w:type="dxa" w:w="1234"/>
          </w:tcPr>
          <w:p>
            <w:r>
              <w:rPr>
                <w:rFonts w:ascii="Calibri" w:hAnsi="Calibri"/>
                <w:sz w:val="22"/>
              </w:rPr>
              <w:t>$749.4M</w:t>
            </w:r>
          </w:p>
        </w:tc>
        <w:tc>
          <w:tcPr>
            <w:tcW w:type="dxa" w:w="1234"/>
          </w:tcPr>
          <w:p>
            <w:r>
              <w:rPr>
                <w:rFonts w:ascii="Calibri" w:hAnsi="Calibri"/>
                <w:sz w:val="22"/>
              </w:rPr>
              <w:t>+47.0%</w:t>
            </w:r>
          </w:p>
        </w:tc>
        <w:tc>
          <w:tcPr>
            <w:tcW w:type="dxa" w:w="1234"/>
          </w:tcPr>
          <w:p>
            <w:r>
              <w:rPr>
                <w:rFonts w:ascii="Calibri" w:hAnsi="Calibri"/>
                <w:sz w:val="22"/>
              </w:rPr>
              <w:t>Margins in “strong ranges” of recent quarters</w:t>
            </w:r>
          </w:p>
        </w:tc>
        <w:tc>
          <w:tcPr>
            <w:tcW w:type="dxa" w:w="1234"/>
          </w:tcPr>
          <w:p>
            <w:r>
              <w:rPr>
                <w:rFonts w:ascii="Calibri" w:hAnsi="Calibri"/>
                <w:sz w:val="22"/>
              </w:rPr>
              <w:t>In line</w:t>
            </w:r>
          </w:p>
        </w:tc>
      </w:tr>
      <w:tr>
        <w:tc>
          <w:tcPr>
            <w:tcW w:type="dxa" w:w="1234"/>
          </w:tcPr>
          <w:p>
            <w:r>
              <w:rPr>
                <w:rFonts w:ascii="Calibri" w:hAnsi="Calibri"/>
                <w:sz w:val="22"/>
              </w:rPr>
              <w:t>Gross Margin (%)</w:t>
            </w:r>
          </w:p>
        </w:tc>
        <w:tc>
          <w:tcPr>
            <w:tcW w:type="dxa" w:w="1234"/>
          </w:tcPr>
          <w:p>
            <w:r>
              <w:rPr>
                <w:rFonts w:ascii="Calibri" w:hAnsi="Calibri"/>
                <w:sz w:val="22"/>
              </w:rPr>
              <w:t>26.3% (record; ~25.2% ex-one-timers)</w:t>
            </w:r>
          </w:p>
        </w:tc>
        <w:tc>
          <w:tcPr>
            <w:tcW w:type="dxa" w:w="1234"/>
          </w:tcPr>
          <w:p>
            <w:r>
              <w:rPr>
                <w:rFonts w:ascii="Calibri" w:hAnsi="Calibri"/>
                <w:sz w:val="22"/>
              </w:rPr>
              <w:t>23.5%</w:t>
            </w:r>
          </w:p>
        </w:tc>
        <w:tc>
          <w:tcPr>
            <w:tcW w:type="dxa" w:w="1234"/>
          </w:tcPr>
          <w:p>
            <w:r>
              <w:rPr>
                <w:rFonts w:ascii="Calibri" w:hAnsi="Calibri"/>
                <w:sz w:val="22"/>
              </w:rPr>
              <w:t>25.2%</w:t>
            </w:r>
          </w:p>
        </w:tc>
        <w:tc>
          <w:tcPr>
            <w:tcW w:type="dxa" w:w="1234"/>
          </w:tcPr>
          <w:p>
            <w:r>
              <w:rPr>
                <w:rFonts w:ascii="Calibri" w:hAnsi="Calibri"/>
                <w:sz w:val="22"/>
              </w:rPr>
              <w:t>+170 bps</w:t>
            </w:r>
          </w:p>
        </w:tc>
        <w:tc>
          <w:tcPr>
            <w:tcW w:type="dxa" w:w="1234"/>
          </w:tcPr>
          <w:p>
            <w:r>
              <w:rPr>
                <w:rFonts w:ascii="Calibri" w:hAnsi="Calibri"/>
                <w:sz w:val="22"/>
              </w:rPr>
              <w:t>Continuation of “strong ranges”</w:t>
            </w:r>
          </w:p>
        </w:tc>
        <w:tc>
          <w:tcPr>
            <w:tcW w:type="dxa" w:w="1234"/>
          </w:tcPr>
          <w:p>
            <w:r>
              <w:rPr>
                <w:rFonts w:ascii="Calibri" w:hAnsi="Calibri"/>
                <w:sz w:val="22"/>
              </w:rPr>
              <w:t>In line</w:t>
            </w:r>
          </w:p>
        </w:tc>
      </w:tr>
      <w:tr>
        <w:tc>
          <w:tcPr>
            <w:tcW w:type="dxa" w:w="1234"/>
          </w:tcPr>
          <w:p>
            <w:r>
              <w:rPr>
                <w:rFonts w:ascii="Calibri" w:hAnsi="Calibri"/>
                <w:sz w:val="22"/>
              </w:rPr>
              <w:t>EPS — Diluted Operating ($)</w:t>
            </w:r>
          </w:p>
        </w:tc>
        <w:tc>
          <w:tcPr>
            <w:tcW w:type="dxa" w:w="1234"/>
          </w:tcPr>
          <w:p>
            <w:r>
              <w:rPr>
                <w:rFonts w:ascii="Calibri" w:hAnsi="Calibri"/>
                <w:sz w:val="22"/>
              </w:rPr>
              <w:t>$10.58</w:t>
            </w:r>
          </w:p>
        </w:tc>
        <w:tc>
          <w:tcPr>
            <w:tcW w:type="dxa" w:w="1234"/>
          </w:tcPr>
          <w:p>
            <w:r>
              <w:rPr>
                <w:rFonts w:ascii="Calibri" w:hAnsi="Calibri"/>
                <w:sz w:val="22"/>
              </w:rPr>
              <w:t>$6.53</w:t>
            </w:r>
          </w:p>
        </w:tc>
        <w:tc>
          <w:tcPr>
            <w:tcW w:type="dxa" w:w="1234"/>
          </w:tcPr>
          <w:p>
            <w:r>
              <w:rPr>
                <w:rFonts w:ascii="Calibri" w:hAnsi="Calibri"/>
                <w:sz w:val="22"/>
              </w:rPr>
              <w:t>$10.60</w:t>
            </w:r>
          </w:p>
        </w:tc>
        <w:tc>
          <w:tcPr>
            <w:tcW w:type="dxa" w:w="1234"/>
          </w:tcPr>
          <w:p>
            <w:r>
              <w:rPr>
                <w:rFonts w:ascii="Calibri" w:hAnsi="Calibri"/>
                <w:sz w:val="22"/>
              </w:rPr>
              <w:t>+62.3%</w:t>
            </w:r>
          </w:p>
        </w:tc>
        <w:tc>
          <w:tcPr>
            <w:tcW w:type="dxa" w:w="1234"/>
          </w:tcPr>
          <w:p>
            <w:r>
              <w:rPr>
                <w:rFonts w:ascii="Calibri" w:hAnsi="Calibri"/>
                <w:sz w:val="22"/>
              </w:rPr>
              <w:t>No explicit EPS guidance</w:t>
            </w:r>
          </w:p>
        </w:tc>
        <w:tc>
          <w:tcPr>
            <w:tcW w:type="dxa" w:w="1234"/>
          </w:tcPr>
          <w:p>
            <w:r>
              <w:rPr>
                <w:rFonts w:ascii="Calibri" w:hAnsi="Calibri"/>
                <w:sz w:val="22"/>
              </w:rPr>
              <w:t>N/A</w:t>
            </w:r>
          </w:p>
        </w:tc>
      </w:tr>
      <w:tr>
        <w:tc>
          <w:tcPr>
            <w:tcW w:type="dxa" w:w="1234"/>
          </w:tcPr>
          <w:p>
            <w:r>
              <w:rPr>
                <w:rFonts w:ascii="Calibri" w:hAnsi="Calibri"/>
                <w:sz w:val="22"/>
              </w:rPr>
              <w:t>Backlog ($B)</w:t>
            </w:r>
          </w:p>
        </w:tc>
        <w:tc>
          <w:tcPr>
            <w:tcW w:type="dxa" w:w="1234"/>
          </w:tcPr>
          <w:p>
            <w:r>
              <w:rPr>
                <w:rFonts w:ascii="Calibri" w:hAnsi="Calibri"/>
                <w:sz w:val="22"/>
              </w:rPr>
              <w:t>$12.455B (record)</w:t>
            </w:r>
          </w:p>
        </w:tc>
        <w:tc>
          <w:tcPr>
            <w:tcW w:type="dxa" w:w="1234"/>
          </w:tcPr>
          <w:p>
            <w:r>
              <w:rPr>
                <w:rFonts w:ascii="Calibri" w:hAnsi="Calibri"/>
                <w:sz w:val="22"/>
              </w:rPr>
              <w:t>$8.124B</w:t>
            </w:r>
          </w:p>
        </w:tc>
        <w:tc>
          <w:tcPr>
            <w:tcW w:type="dxa" w:w="1234"/>
          </w:tcPr>
          <w:p>
            <w:r>
              <w:rPr>
                <w:rFonts w:ascii="Calibri" w:hAnsi="Calibri"/>
                <w:sz w:val="22"/>
              </w:rPr>
              <w:t>$12.653B</w:t>
            </w:r>
          </w:p>
        </w:tc>
        <w:tc>
          <w:tcPr>
            <w:tcW w:type="dxa" w:w="1234"/>
          </w:tcPr>
          <w:p>
            <w:r>
              <w:rPr>
                <w:rFonts w:ascii="Calibri" w:hAnsi="Calibri"/>
                <w:sz w:val="22"/>
              </w:rPr>
              <w:t>+55.8%</w:t>
            </w:r>
          </w:p>
        </w:tc>
        <w:tc>
          <w:tcPr>
            <w:tcW w:type="dxa" w:w="1234"/>
          </w:tcPr>
          <w:p>
            <w:r>
              <w:rPr>
                <w:rFonts w:ascii="Calibri" w:hAnsi="Calibri"/>
                <w:sz w:val="22"/>
              </w:rPr>
              <w:t>No explicit backlog guidance</w:t>
            </w:r>
          </w:p>
        </w:tc>
        <w:tc>
          <w:tcPr>
            <w:tcW w:type="dxa" w:w="1234"/>
          </w:tcPr>
          <w:p>
            <w:r>
              <w:rPr>
                <w:rFonts w:ascii="Calibri" w:hAnsi="Calibri"/>
                <w:sz w:val="22"/>
              </w:rPr>
              <w:t>N/A</w:t>
            </w:r>
          </w:p>
        </w:tc>
      </w:tr>
      <w:tr>
        <w:tc>
          <w:tcPr>
            <w:tcW w:type="dxa" w:w="1234"/>
          </w:tcPr>
          <w:p>
            <w:r>
              <w:rPr>
                <w:rFonts w:ascii="Calibri" w:hAnsi="Calibri"/>
                <w:sz w:val="22"/>
              </w:rPr>
              <w:t>New Awards ($B)</w:t>
            </w:r>
          </w:p>
        </w:tc>
        <w:tc>
          <w:tcPr>
            <w:tcW w:type="dxa" w:w="1234"/>
          </w:tcPr>
          <w:p>
            <w:r>
              <w:rPr>
                <w:rFonts w:ascii="Calibri" w:hAnsi="Calibri"/>
                <w:sz w:val="22"/>
              </w:rPr>
              <w:t>$3.375B</w:t>
            </w:r>
          </w:p>
        </w:tc>
        <w:tc>
          <w:tcPr>
            <w:tcW w:type="dxa" w:w="1234"/>
          </w:tcPr>
          <w:p>
            <w:r>
              <w:rPr>
                <w:rFonts w:ascii="Calibri" w:hAnsi="Calibri"/>
                <w:sz w:val="22"/>
              </w:rPr>
              <w:t>$3.408B</w:t>
            </w:r>
          </w:p>
        </w:tc>
        <w:tc>
          <w:tcPr>
            <w:tcW w:type="dxa" w:w="1234"/>
          </w:tcPr>
          <w:p>
            <w:r>
              <w:rPr>
                <w:rFonts w:ascii="Calibri" w:hAnsi="Calibri"/>
                <w:sz w:val="22"/>
              </w:rPr>
              <w:t>$3.284B</w:t>
            </w:r>
          </w:p>
        </w:tc>
        <w:tc>
          <w:tcPr>
            <w:tcW w:type="dxa" w:w="1234"/>
          </w:tcPr>
          <w:p>
            <w:r>
              <w:rPr>
                <w:rFonts w:ascii="Calibri" w:hAnsi="Calibri"/>
                <w:sz w:val="22"/>
              </w:rPr>
              <w:t>-3.7%</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Operating EBITDA ($M)</w:t>
            </w:r>
          </w:p>
        </w:tc>
        <w:tc>
          <w:tcPr>
            <w:tcW w:type="dxa" w:w="1234"/>
          </w:tcPr>
          <w:p>
            <w:r>
              <w:rPr>
                <w:rFonts w:ascii="Calibri" w:hAnsi="Calibri"/>
                <w:sz w:val="22"/>
              </w:rPr>
              <w:t>$524.4M</w:t>
            </w:r>
          </w:p>
        </w:tc>
        <w:tc>
          <w:tcPr>
            <w:tcW w:type="dxa" w:w="1234"/>
          </w:tcPr>
          <w:p>
            <w:r>
              <w:rPr>
                <w:rFonts w:ascii="Calibri" w:hAnsi="Calibri"/>
                <w:sz w:val="22"/>
              </w:rPr>
              <w:t>$334.1M</w:t>
            </w:r>
          </w:p>
        </w:tc>
        <w:tc>
          <w:tcPr>
            <w:tcW w:type="dxa" w:w="1234"/>
          </w:tcPr>
          <w:p>
            <w:r>
              <w:rPr>
                <w:rFonts w:ascii="Calibri" w:hAnsi="Calibri"/>
                <w:sz w:val="22"/>
              </w:rPr>
              <w:t>$520.6M</w:t>
            </w:r>
          </w:p>
        </w:tc>
        <w:tc>
          <w:tcPr>
            <w:tcW w:type="dxa" w:w="1234"/>
          </w:tcPr>
          <w:p>
            <w:r>
              <w:rPr>
                <w:rFonts w:ascii="Calibri" w:hAnsi="Calibri"/>
                <w:sz w:val="22"/>
              </w:rPr>
              <w:t>+55.8%</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$242.2M</w:t>
            </w:r>
          </w:p>
        </w:tc>
        <w:tc>
          <w:tcPr>
            <w:tcW w:type="dxa" w:w="1234"/>
          </w:tcPr>
          <w:p>
            <w:r>
              <w:rPr>
                <w:rFonts w:ascii="Calibri" w:hAnsi="Calibri"/>
                <w:sz w:val="22"/>
              </w:rPr>
              <w:t>$222.2M</w:t>
            </w:r>
          </w:p>
        </w:tc>
        <w:tc>
          <w:tcPr>
            <w:tcW w:type="dxa" w:w="1234"/>
          </w:tcPr>
          <w:p>
            <w:r>
              <w:rPr>
                <w:rFonts w:ascii="Calibri" w:hAnsi="Calibri"/>
                <w:sz w:val="22"/>
              </w:rPr>
              <w:t>$223.0M</w:t>
            </w:r>
          </w:p>
        </w:tc>
        <w:tc>
          <w:tcPr>
            <w:tcW w:type="dxa" w:w="1234"/>
          </w:tcPr>
          <w:p>
            <w:r>
              <w:rPr>
                <w:rFonts w:ascii="Calibri" w:hAnsi="Calibri"/>
                <w:sz w:val="22"/>
              </w:rPr>
              <w:t>+0.4%</w:t>
            </w:r>
          </w:p>
        </w:tc>
        <w:tc>
          <w:tcPr>
            <w:tcW w:type="dxa" w:w="1234"/>
          </w:tcPr>
          <w:p>
            <w:r>
              <w:rPr>
                <w:rFonts w:ascii="Calibri" w:hAnsi="Calibri"/>
                <w:sz w:val="22"/>
              </w:rPr>
              <w:t>No explicit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July 22, 2026. Q1 2026 actuals from April 23, 2026 earnings release. Gross margin ex-one-timers per management disclosure of ~$43M non-recurring Q1 benefit.</w:t>
      </w:r>
    </w:p>
    <w:p>
      <w:pPr>
        <w:pStyle w:val="Heading2"/>
      </w:pPr>
      <w:r>
        <w:rPr>
          <w:rFonts w:ascii="Calibri" w:hAnsi="Calibri"/>
          <w:b/>
          <w:color w:val="3B4259"/>
          <w:sz w:val="28"/>
        </w:rPr>
        <w:t>Table 2 — Beat/Miss History (Last 8 Quarters) — Top 2 KPIs: Revenue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$2.865B</w:t>
            </w:r>
          </w:p>
        </w:tc>
        <w:tc>
          <w:tcPr>
            <w:tcW w:type="dxa" w:w="1440"/>
          </w:tcPr>
          <w:p>
            <w:r>
              <w:rPr>
                <w:rFonts w:ascii="Calibri" w:hAnsi="Calibri"/>
                <w:sz w:val="22"/>
              </w:rPr>
              <w:t>$2.399B</w:t>
            </w:r>
          </w:p>
        </w:tc>
        <w:tc>
          <w:tcPr>
            <w:tcW w:type="dxa" w:w="1440"/>
          </w:tcPr>
          <w:p>
            <w:r>
              <w:rPr>
                <w:rFonts w:ascii="Calibri" w:hAnsi="Calibri"/>
                <w:b/>
                <w:color w:val="30A46C"/>
                <w:sz w:val="22"/>
              </w:rPr>
              <w:t>+19.4%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$10.58</w:t>
            </w:r>
          </w:p>
        </w:tc>
        <w:tc>
          <w:tcPr>
            <w:tcW w:type="dxa" w:w="1440"/>
          </w:tcPr>
          <w:p>
            <w:r>
              <w:rPr>
                <w:rFonts w:ascii="Calibri" w:hAnsi="Calibri"/>
                <w:sz w:val="22"/>
              </w:rPr>
              <w:t>$6.99</w:t>
            </w:r>
          </w:p>
        </w:tc>
        <w:tc>
          <w:tcPr>
            <w:tcW w:type="dxa" w:w="1440"/>
          </w:tcPr>
          <w:p>
            <w:r>
              <w:rPr>
                <w:rFonts w:ascii="Calibri" w:hAnsi="Calibri"/>
                <w:b/>
                <w:color w:val="30A46C"/>
                <w:sz w:val="22"/>
              </w:rPr>
              <w:t>+51.4%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$2.646B</w:t>
            </w:r>
          </w:p>
        </w:tc>
        <w:tc>
          <w:tcPr>
            <w:tcW w:type="dxa" w:w="1440"/>
          </w:tcPr>
          <w:p>
            <w:r>
              <w:rPr>
                <w:rFonts w:ascii="Calibri" w:hAnsi="Calibri"/>
                <w:sz w:val="22"/>
              </w:rPr>
              <w:t>$2.342B</w:t>
            </w:r>
          </w:p>
        </w:tc>
        <w:tc>
          <w:tcPr>
            <w:tcW w:type="dxa" w:w="1440"/>
          </w:tcPr>
          <w:p>
            <w:r>
              <w:rPr>
                <w:rFonts w:ascii="Calibri" w:hAnsi="Calibri"/>
                <w:b/>
                <w:color w:val="30A46C"/>
                <w:sz w:val="22"/>
              </w:rPr>
              <w:t>+13.0%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$9.37</w:t>
            </w:r>
          </w:p>
        </w:tc>
        <w:tc>
          <w:tcPr>
            <w:tcW w:type="dxa" w:w="1440"/>
          </w:tcPr>
          <w:p>
            <w:r>
              <w:rPr>
                <w:rFonts w:ascii="Calibri" w:hAnsi="Calibri"/>
                <w:sz w:val="22"/>
              </w:rPr>
              <w:t>$6.87</w:t>
            </w:r>
          </w:p>
        </w:tc>
        <w:tc>
          <w:tcPr>
            <w:tcW w:type="dxa" w:w="1440"/>
          </w:tcPr>
          <w:p>
            <w:r>
              <w:rPr>
                <w:rFonts w:ascii="Calibri" w:hAnsi="Calibri"/>
                <w:b/>
                <w:color w:val="30A46C"/>
                <w:sz w:val="22"/>
              </w:rPr>
              <w:t>+36.4%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$2.451B</w:t>
            </w:r>
          </w:p>
        </w:tc>
        <w:tc>
          <w:tcPr>
            <w:tcW w:type="dxa" w:w="1440"/>
          </w:tcPr>
          <w:p>
            <w:r>
              <w:rPr>
                <w:rFonts w:ascii="Calibri" w:hAnsi="Calibri"/>
                <w:sz w:val="22"/>
              </w:rPr>
              <w:t>$2.165B</w:t>
            </w:r>
          </w:p>
        </w:tc>
        <w:tc>
          <w:tcPr>
            <w:tcW w:type="dxa" w:w="1440"/>
          </w:tcPr>
          <w:p>
            <w:r>
              <w:rPr>
                <w:rFonts w:ascii="Calibri" w:hAnsi="Calibri"/>
                <w:b/>
                <w:color w:val="30A46C"/>
                <w:sz w:val="22"/>
              </w:rPr>
              <w:t>+13.2%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$8.25</w:t>
            </w:r>
          </w:p>
        </w:tc>
        <w:tc>
          <w:tcPr>
            <w:tcW w:type="dxa" w:w="1440"/>
          </w:tcPr>
          <w:p>
            <w:r>
              <w:rPr>
                <w:rFonts w:ascii="Calibri" w:hAnsi="Calibri"/>
                <w:sz w:val="22"/>
              </w:rPr>
              <w:t>$6.43</w:t>
            </w:r>
          </w:p>
        </w:tc>
        <w:tc>
          <w:tcPr>
            <w:tcW w:type="dxa" w:w="1440"/>
          </w:tcPr>
          <w:p>
            <w:r>
              <w:rPr>
                <w:rFonts w:ascii="Calibri" w:hAnsi="Calibri"/>
                <w:b/>
                <w:color w:val="30A46C"/>
                <w:sz w:val="22"/>
              </w:rPr>
              <w:t>+28.3%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$2.173B</w:t>
            </w:r>
          </w:p>
        </w:tc>
        <w:tc>
          <w:tcPr>
            <w:tcW w:type="dxa" w:w="1440"/>
          </w:tcPr>
          <w:p>
            <w:r>
              <w:rPr>
                <w:rFonts w:ascii="Calibri" w:hAnsi="Calibri"/>
                <w:sz w:val="22"/>
              </w:rPr>
              <w:t>$1.966B</w:t>
            </w:r>
          </w:p>
        </w:tc>
        <w:tc>
          <w:tcPr>
            <w:tcW w:type="dxa" w:w="1440"/>
          </w:tcPr>
          <w:p>
            <w:r>
              <w:rPr>
                <w:rFonts w:ascii="Calibri" w:hAnsi="Calibri"/>
                <w:b/>
                <w:color w:val="30A46C"/>
                <w:sz w:val="22"/>
              </w:rPr>
              <w:t>+10.5%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$6.53</w:t>
            </w:r>
          </w:p>
        </w:tc>
        <w:tc>
          <w:tcPr>
            <w:tcW w:type="dxa" w:w="1440"/>
          </w:tcPr>
          <w:p>
            <w:r>
              <w:rPr>
                <w:rFonts w:ascii="Calibri" w:hAnsi="Calibri"/>
                <w:sz w:val="22"/>
              </w:rPr>
              <w:t>$5.01</w:t>
            </w:r>
          </w:p>
        </w:tc>
        <w:tc>
          <w:tcPr>
            <w:tcW w:type="dxa" w:w="1440"/>
          </w:tcPr>
          <w:p>
            <w:r>
              <w:rPr>
                <w:rFonts w:ascii="Calibri" w:hAnsi="Calibri"/>
                <w:b/>
                <w:color w:val="30A46C"/>
                <w:sz w:val="22"/>
              </w:rPr>
              <w:t>+30.3%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$1.831B</w:t>
            </w:r>
          </w:p>
        </w:tc>
        <w:tc>
          <w:tcPr>
            <w:tcW w:type="dxa" w:w="1440"/>
          </w:tcPr>
          <w:p>
            <w:r>
              <w:rPr>
                <w:rFonts w:ascii="Calibri" w:hAnsi="Calibri"/>
                <w:sz w:val="22"/>
              </w:rPr>
              <w:t>$1.758B</w:t>
            </w:r>
          </w:p>
        </w:tc>
        <w:tc>
          <w:tcPr>
            <w:tcW w:type="dxa" w:w="1440"/>
          </w:tcPr>
          <w:p>
            <w:r>
              <w:rPr>
                <w:rFonts w:ascii="Calibri" w:hAnsi="Calibri"/>
                <w:b/>
                <w:color w:val="30A46C"/>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$4.75</w:t>
            </w:r>
          </w:p>
        </w:tc>
        <w:tc>
          <w:tcPr>
            <w:tcW w:type="dxa" w:w="1440"/>
          </w:tcPr>
          <w:p>
            <w:r>
              <w:rPr>
                <w:rFonts w:ascii="Calibri" w:hAnsi="Calibri"/>
                <w:sz w:val="22"/>
              </w:rPr>
              <w:t>$3.67</w:t>
            </w:r>
          </w:p>
        </w:tc>
        <w:tc>
          <w:tcPr>
            <w:tcW w:type="dxa" w:w="1440"/>
          </w:tcPr>
          <w:p>
            <w:r>
              <w:rPr>
                <w:rFonts w:ascii="Calibri" w:hAnsi="Calibri"/>
                <w:b/>
                <w:color w:val="30A46C"/>
                <w:sz w:val="22"/>
              </w:rPr>
              <w:t>+29.4%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$1.868B</w:t>
            </w:r>
          </w:p>
        </w:tc>
        <w:tc>
          <w:tcPr>
            <w:tcW w:type="dxa" w:w="1440"/>
          </w:tcPr>
          <w:p>
            <w:r>
              <w:rPr>
                <w:rFonts w:ascii="Calibri" w:hAnsi="Calibri"/>
                <w:sz w:val="22"/>
              </w:rPr>
              <w:t>$1.770B</w:t>
            </w:r>
          </w:p>
        </w:tc>
        <w:tc>
          <w:tcPr>
            <w:tcW w:type="dxa" w:w="1440"/>
          </w:tcPr>
          <w:p>
            <w:r>
              <w:rPr>
                <w:rFonts w:ascii="Calibri" w:hAnsi="Calibri"/>
                <w:b/>
                <w:color w:val="30A46C"/>
                <w:sz w:val="22"/>
              </w:rPr>
              <w:t>+5.5%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$4.09</w:t>
            </w:r>
          </w:p>
        </w:tc>
        <w:tc>
          <w:tcPr>
            <w:tcW w:type="dxa" w:w="1440"/>
          </w:tcPr>
          <w:p>
            <w:r>
              <w:rPr>
                <w:rFonts w:ascii="Calibri" w:hAnsi="Calibri"/>
                <w:sz w:val="22"/>
              </w:rPr>
              <w:t>$3.73</w:t>
            </w:r>
          </w:p>
        </w:tc>
        <w:tc>
          <w:tcPr>
            <w:tcW w:type="dxa" w:w="1440"/>
          </w:tcPr>
          <w:p>
            <w:r>
              <w:rPr>
                <w:rFonts w:ascii="Calibri" w:hAnsi="Calibri"/>
                <w:b/>
                <w:color w:val="30A46C"/>
                <w:sz w:val="22"/>
              </w:rPr>
              <w:t>+9.6%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$1.812B</w:t>
            </w:r>
          </w:p>
        </w:tc>
        <w:tc>
          <w:tcPr>
            <w:tcW w:type="dxa" w:w="1440"/>
          </w:tcPr>
          <w:p>
            <w:r>
              <w:rPr>
                <w:rFonts w:ascii="Calibri" w:hAnsi="Calibri"/>
                <w:sz w:val="22"/>
              </w:rPr>
              <w:t>$1.845B</w:t>
            </w:r>
          </w:p>
        </w:tc>
        <w:tc>
          <w:tcPr>
            <w:tcW w:type="dxa" w:w="1440"/>
          </w:tcPr>
          <w:p>
            <w:r>
              <w:rPr>
                <w:rFonts w:ascii="Calibri" w:hAnsi="Calibri"/>
                <w:b/>
                <w:color w:val="E5484D"/>
                <w:sz w:val="22"/>
              </w:rPr>
              <w:t>-1.8%</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$4.09</w:t>
            </w:r>
          </w:p>
        </w:tc>
        <w:tc>
          <w:tcPr>
            <w:tcW w:type="dxa" w:w="1440"/>
          </w:tcPr>
          <w:p>
            <w:r>
              <w:rPr>
                <w:rFonts w:ascii="Calibri" w:hAnsi="Calibri"/>
                <w:sz w:val="22"/>
              </w:rPr>
              <w:t>$4.04</w:t>
            </w:r>
          </w:p>
        </w:tc>
        <w:tc>
          <w:tcPr>
            <w:tcW w:type="dxa" w:w="1440"/>
          </w:tcPr>
          <w:p>
            <w:r>
              <w:rPr>
                <w:rFonts w:ascii="Calibri" w:hAnsi="Calibri"/>
                <w:b/>
                <w:color w:val="30A46C"/>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$1.810B</w:t>
            </w:r>
          </w:p>
        </w:tc>
        <w:tc>
          <w:tcPr>
            <w:tcW w:type="dxa" w:w="1440"/>
          </w:tcPr>
          <w:p>
            <w:r>
              <w:rPr>
                <w:rFonts w:ascii="Calibri" w:hAnsi="Calibri"/>
                <w:sz w:val="22"/>
              </w:rPr>
              <w:t>$1.685B</w:t>
            </w:r>
          </w:p>
        </w:tc>
        <w:tc>
          <w:tcPr>
            <w:tcW w:type="dxa" w:w="1440"/>
          </w:tcPr>
          <w:p>
            <w:r>
              <w:rPr>
                <w:rFonts w:ascii="Calibri" w:hAnsi="Calibri"/>
                <w:b/>
                <w:color w:val="30A46C"/>
                <w:sz w:val="22"/>
              </w:rPr>
              <w:t>+7.5%</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Op. EPS</w:t>
            </w:r>
          </w:p>
        </w:tc>
        <w:tc>
          <w:tcPr>
            <w:tcW w:type="dxa" w:w="1440"/>
          </w:tcPr>
          <w:p>
            <w:r>
              <w:rPr>
                <w:rFonts w:ascii="Calibri" w:hAnsi="Calibri"/>
                <w:sz w:val="22"/>
              </w:rPr>
              <w:t>$3.74</w:t>
            </w:r>
          </w:p>
        </w:tc>
        <w:tc>
          <w:tcPr>
            <w:tcW w:type="dxa" w:w="1440"/>
          </w:tcPr>
          <w:p>
            <w:r>
              <w:rPr>
                <w:rFonts w:ascii="Calibri" w:hAnsi="Calibri"/>
                <w:sz w:val="22"/>
              </w:rPr>
              <w:t>$3.15</w:t>
            </w:r>
          </w:p>
        </w:tc>
        <w:tc>
          <w:tcPr>
            <w:tcW w:type="dxa" w:w="1440"/>
          </w:tcPr>
          <w:p>
            <w:r>
              <w:rPr>
                <w:rFonts w:ascii="Calibri" w:hAnsi="Calibri"/>
                <w:b/>
                <w:color w:val="30A46C"/>
                <w:sz w:val="22"/>
              </w:rPr>
              <w:t>+18.7%</w:t>
            </w:r>
          </w:p>
        </w:tc>
        <w:tc>
          <w:tcPr>
            <w:tcW w:type="dxa" w:w="1440"/>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FIX has beaten revenue consensus in 7 of the last 8 quarters and operating EPS in all 8, with beat magnitudes accelerating sharply since Q2 2025 as data center demand inflected — the lone revenue miss (Q3 2024, -1.8%) was modest and EPS still beat that quarter.</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same-store revenue guidance materially on the Q1 call (to mid-to-high 20s% from prior low-to-mid teens) and has not issued any post-earnings revision — tone remains emphatic on demand and confident on margins, with no incremental caution.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Same-Store Revenue Growth (FY2026)</w:t>
            </w:r>
          </w:p>
        </w:tc>
        <w:tc>
          <w:tcPr>
            <w:tcW w:type="dxa" w:w="1728"/>
          </w:tcPr>
          <w:p>
            <w:r>
              <w:rPr>
                <w:rFonts w:ascii="Calibri" w:hAnsi="Calibri"/>
                <w:sz w:val="22"/>
              </w:rPr>
              <w:t>Mid-to-high 20s% YoY; remaining quarters above 20% on average</w:t>
            </w:r>
          </w:p>
        </w:tc>
        <w:tc>
          <w:tcPr>
            <w:tcW w:type="dxa" w:w="1728"/>
          </w:tcPr>
          <w:p>
            <w:r>
              <w:rPr>
                <w:rFonts w:ascii="Calibri" w:hAnsi="Calibri"/>
                <w:sz w:val="22"/>
              </w:rPr>
              <w:t>—</w:t>
            </w:r>
          </w:p>
        </w:tc>
        <w:tc>
          <w:tcPr>
            <w:tcW w:type="dxa" w:w="1728"/>
          </w:tcPr>
          <w:p>
            <w:r>
              <w:rPr>
                <w:rFonts w:ascii="Calibri" w:hAnsi="Calibri"/>
                <w:sz w:val="22"/>
              </w:rPr>
              <w:t>~$11.93B FY2026 revenue (implies ~25% growth)</w:t>
            </w:r>
          </w:p>
        </w:tc>
        <w:tc>
          <w:tcPr>
            <w:tcW w:type="dxa" w:w="1728"/>
          </w:tcPr>
          <w:p>
            <w:r>
              <w:rPr>
                <w:rFonts w:ascii="Calibri" w:hAnsi="Calibri"/>
                <w:sz w:val="22"/>
              </w:rPr>
              <w:t>No post-earnings revision; guidance raised from prior low-to-mid teens on Q1 call</w:t>
            </w:r>
          </w:p>
        </w:tc>
      </w:tr>
      <w:tr>
        <w:tc>
          <w:tcPr>
            <w:tcW w:type="dxa" w:w="1728"/>
          </w:tcPr>
          <w:p>
            <w:r>
              <w:rPr>
                <w:rFonts w:ascii="Calibri" w:hAnsi="Calibri"/>
                <w:sz w:val="22"/>
              </w:rPr>
              <w:t>Gross Profit Margin</w:t>
            </w:r>
          </w:p>
        </w:tc>
        <w:tc>
          <w:tcPr>
            <w:tcW w:type="dxa" w:w="1728"/>
          </w:tcPr>
          <w:p>
            <w:r>
              <w:rPr>
                <w:rFonts w:ascii="Calibri" w:hAnsi="Calibri"/>
                <w:sz w:val="22"/>
              </w:rPr>
              <w:t>Continue in “strong ranges averaged over past several quarters”; ~25%+ expected</w:t>
            </w:r>
          </w:p>
        </w:tc>
        <w:tc>
          <w:tcPr>
            <w:tcW w:type="dxa" w:w="1728"/>
          </w:tcPr>
          <w:p>
            <w:r>
              <w:rPr>
                <w:rFonts w:ascii="Calibri" w:hAnsi="Calibri"/>
                <w:sz w:val="22"/>
              </w:rPr>
              <w:t>—</w:t>
            </w:r>
          </w:p>
        </w:tc>
        <w:tc>
          <w:tcPr>
            <w:tcW w:type="dxa" w:w="1728"/>
          </w:tcPr>
          <w:p>
            <w:r>
              <w:rPr>
                <w:rFonts w:ascii="Calibri" w:hAnsi="Calibri"/>
                <w:sz w:val="22"/>
              </w:rPr>
              <w:t>~25.2% Q2 2026; ~25.8% FY2026</w:t>
            </w:r>
          </w:p>
        </w:tc>
        <w:tc>
          <w:tcPr>
            <w:tcW w:type="dxa" w:w="1728"/>
          </w:tcPr>
          <w:p>
            <w:r>
              <w:rPr>
                <w:rFonts w:ascii="Calibri" w:hAnsi="Calibri"/>
                <w:sz w:val="22"/>
              </w:rPr>
              <w:t>No revision; management flagged $43M Q1 non-recurring items as not repeatable</w:t>
            </w:r>
          </w:p>
        </w:tc>
      </w:tr>
      <w:tr>
        <w:tc>
          <w:tcPr>
            <w:tcW w:type="dxa" w:w="1728"/>
          </w:tcPr>
          <w:p>
            <w:r>
              <w:rPr>
                <w:rFonts w:ascii="Calibri" w:hAnsi="Calibri"/>
                <w:sz w:val="22"/>
              </w:rPr>
              <w:t>Full-Year CapEx</w:t>
            </w:r>
          </w:p>
        </w:tc>
        <w:tc>
          <w:tcPr>
            <w:tcW w:type="dxa" w:w="1728"/>
          </w:tcPr>
          <w:p>
            <w:r>
              <w:rPr>
                <w:rFonts w:ascii="Calibri" w:hAnsi="Calibri"/>
                <w:sz w:val="22"/>
              </w:rPr>
              <w:t>~5% of revenue (significant step-up from ~1.2% in 2025)</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Driven by modular building purchases; multi-year customer commitments secured</w:t>
            </w:r>
          </w:p>
        </w:tc>
      </w:tr>
      <w:tr>
        <w:tc>
          <w:tcPr>
            <w:tcW w:type="dxa" w:w="1728"/>
          </w:tcPr>
          <w:p>
            <w:r>
              <w:rPr>
                <w:rFonts w:ascii="Calibri" w:hAnsi="Calibri"/>
                <w:sz w:val="22"/>
              </w:rPr>
              <w:t>Full-Year Effective Tax Rate</w:t>
            </w:r>
          </w:p>
        </w:tc>
        <w:tc>
          <w:tcPr>
            <w:tcW w:type="dxa" w:w="1728"/>
          </w:tcPr>
          <w:p>
            <w:r>
              <w:rPr>
                <w:rFonts w:ascii="Calibri" w:hAnsi="Calibri"/>
                <w:sz w:val="22"/>
              </w:rPr>
              <w:t>~23%</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revision; Q1 rate was 23.2%, in line</w:t>
            </w:r>
          </w:p>
        </w:tc>
      </w:tr>
      <w:tr>
        <w:tc>
          <w:tcPr>
            <w:tcW w:type="dxa" w:w="1728"/>
          </w:tcPr>
          <w:p>
            <w:r>
              <w:rPr>
                <w:rFonts w:ascii="Calibri" w:hAnsi="Calibri"/>
                <w:sz w:val="22"/>
              </w:rPr>
              <w:t>Modular Capacity</w:t>
            </w:r>
          </w:p>
        </w:tc>
        <w:tc>
          <w:tcPr>
            <w:tcW w:type="dxa" w:w="1728"/>
          </w:tcPr>
          <w:p>
            <w:r>
              <w:rPr>
                <w:rFonts w:ascii="Calibri" w:hAnsi="Calibri"/>
                <w:sz w:val="22"/>
              </w:rPr>
              <w:t>4 million sq ft by end of 2026; actively evaluating additional capacity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All 2026 capacity committed to existing customers; ownership model (not lease)</w:t>
            </w:r>
          </w:p>
        </w:tc>
      </w:tr>
      <w:tr>
        <w:tc>
          <w:tcPr>
            <w:tcW w:type="dxa" w:w="1728"/>
          </w:tcPr>
          <w:p>
            <w:r>
              <w:rPr>
                <w:rFonts w:ascii="Calibri" w:hAnsi="Calibri"/>
                <w:sz w:val="22"/>
              </w:rPr>
              <w:t>Quarterly Dividend</w:t>
            </w:r>
          </w:p>
        </w:tc>
        <w:tc>
          <w:tcPr>
            <w:tcW w:type="dxa" w:w="1728"/>
          </w:tcPr>
          <w:p>
            <w:r>
              <w:rPr>
                <w:rFonts w:ascii="Calibri" w:hAnsi="Calibri"/>
                <w:sz w:val="22"/>
              </w:rPr>
              <w:t>$0.80/share (raised from $0.70 on Q1 call)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14 consecutive years of dividend increases; no further revision since Q1</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stable since the Q1 print — Q2 revenue consensus is nearly unchanged (+0.2%) and FY2026 EPS is flat — suggesting the Street has fully digested the Q1 beat and guidance raise without running materially ahead, which is a healthy setup.</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$2.977B</w:t>
            </w:r>
          </w:p>
        </w:tc>
        <w:tc>
          <w:tcPr>
            <w:tcW w:type="dxa" w:w="1080"/>
          </w:tcPr>
          <w:p>
            <w:r>
              <w:rPr>
                <w:rFonts w:ascii="Calibri" w:hAnsi="Calibri"/>
                <w:sz w:val="22"/>
              </w:rPr>
              <w:t>$2.971B</w:t>
            </w:r>
          </w:p>
        </w:tc>
        <w:tc>
          <w:tcPr>
            <w:tcW w:type="dxa" w:w="1080"/>
          </w:tcPr>
          <w:p>
            <w:r>
              <w:rPr>
                <w:rFonts w:ascii="Calibri" w:hAnsi="Calibri"/>
                <w:sz w:val="22"/>
              </w:rPr>
              <w:t>-0.2%</w:t>
            </w:r>
          </w:p>
        </w:tc>
        <w:tc>
          <w:tcPr>
            <w:tcW w:type="dxa" w:w="1080"/>
          </w:tcPr>
          <w:p>
            <w:r>
              <w:rPr>
                <w:rFonts w:ascii="Calibri" w:hAnsi="Calibri"/>
                <w:sz w:val="22"/>
              </w:rPr>
              <w:t>Mid-to-high 20s% SS growth FY2026; Q2 above 20%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implied range</w:t>
            </w:r>
          </w:p>
        </w:tc>
      </w:tr>
      <w:tr>
        <w:tc>
          <w:tcPr>
            <w:tcW w:type="dxa" w:w="1080"/>
          </w:tcPr>
          <w:p>
            <w:r>
              <w:rPr>
                <w:rFonts w:ascii="Calibri" w:hAnsi="Calibri"/>
                <w:sz w:val="22"/>
              </w:rPr>
              <w:t>Revenue — FY2026</w:t>
            </w:r>
          </w:p>
        </w:tc>
        <w:tc>
          <w:tcPr>
            <w:tcW w:type="dxa" w:w="1080"/>
          </w:tcPr>
          <w:p>
            <w:r>
              <w:rPr>
                <w:rFonts w:ascii="Calibri" w:hAnsi="Calibri"/>
                <w:sz w:val="22"/>
              </w:rPr>
              <w:t>$11.939B</w:t>
            </w:r>
          </w:p>
        </w:tc>
        <w:tc>
          <w:tcPr>
            <w:tcW w:type="dxa" w:w="1080"/>
          </w:tcPr>
          <w:p>
            <w:r>
              <w:rPr>
                <w:rFonts w:ascii="Calibri" w:hAnsi="Calibri"/>
                <w:sz w:val="22"/>
              </w:rPr>
              <w:t>$11.926B</w:t>
            </w:r>
          </w:p>
        </w:tc>
        <w:tc>
          <w:tcPr>
            <w:tcW w:type="dxa" w:w="1080"/>
          </w:tcPr>
          <w:p>
            <w:r>
              <w:rPr>
                <w:rFonts w:ascii="Calibri" w:hAnsi="Calibri"/>
                <w:sz w:val="22"/>
              </w:rPr>
              <w:t>-0.1%</w:t>
            </w:r>
          </w:p>
        </w:tc>
        <w:tc>
          <w:tcPr>
            <w:tcW w:type="dxa" w:w="1080"/>
          </w:tcPr>
          <w:p>
            <w:r>
              <w:rPr>
                <w:rFonts w:ascii="Calibri" w:hAnsi="Calibri"/>
                <w:sz w:val="22"/>
              </w:rPr>
              <w:t>Mid-to-high 20s% SS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Op. EPS — Q2 2026</w:t>
            </w:r>
          </w:p>
        </w:tc>
        <w:tc>
          <w:tcPr>
            <w:tcW w:type="dxa" w:w="1080"/>
          </w:tcPr>
          <w:p>
            <w:r>
              <w:rPr>
                <w:rFonts w:ascii="Calibri" w:hAnsi="Calibri"/>
                <w:sz w:val="22"/>
              </w:rPr>
              <w:t>$10.60</w:t>
            </w:r>
          </w:p>
        </w:tc>
        <w:tc>
          <w:tcPr>
            <w:tcW w:type="dxa" w:w="1080"/>
          </w:tcPr>
          <w:p>
            <w:r>
              <w:rPr>
                <w:rFonts w:ascii="Calibri" w:hAnsi="Calibri"/>
                <w:sz w:val="22"/>
              </w:rPr>
              <w:t>$10.60</w:t>
            </w:r>
          </w:p>
        </w:tc>
        <w:tc>
          <w:tcPr>
            <w:tcW w:type="dxa" w:w="1080"/>
          </w:tcPr>
          <w:p>
            <w:r>
              <w:rPr>
                <w:rFonts w:ascii="Calibri" w:hAnsi="Calibri"/>
                <w:sz w:val="22"/>
              </w:rPr>
              <w:t>0.0%</w:t>
            </w:r>
          </w:p>
        </w:tc>
        <w:tc>
          <w:tcPr>
            <w:tcW w:type="dxa" w:w="1080"/>
          </w:tcPr>
          <w:p>
            <w:r>
              <w:rPr>
                <w:rFonts w:ascii="Calibri" w:hAnsi="Calibri"/>
                <w:sz w:val="22"/>
              </w:rPr>
              <w:t>No explicit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EPS — FY2026</w:t>
            </w:r>
          </w:p>
        </w:tc>
        <w:tc>
          <w:tcPr>
            <w:tcW w:type="dxa" w:w="1080"/>
          </w:tcPr>
          <w:p>
            <w:r>
              <w:rPr>
                <w:rFonts w:ascii="Calibri" w:hAnsi="Calibri"/>
                <w:sz w:val="22"/>
              </w:rPr>
              <w:t>$43.43</w:t>
            </w:r>
          </w:p>
        </w:tc>
        <w:tc>
          <w:tcPr>
            <w:tcW w:type="dxa" w:w="1080"/>
          </w:tcPr>
          <w:p>
            <w:r>
              <w:rPr>
                <w:rFonts w:ascii="Calibri" w:hAnsi="Calibri"/>
                <w:sz w:val="22"/>
              </w:rPr>
              <w:t>$43.43</w:t>
            </w:r>
          </w:p>
        </w:tc>
        <w:tc>
          <w:tcPr>
            <w:tcW w:type="dxa" w:w="1080"/>
          </w:tcPr>
          <w:p>
            <w:r>
              <w:rPr>
                <w:rFonts w:ascii="Calibri" w:hAnsi="Calibri"/>
                <w:sz w:val="22"/>
              </w:rPr>
              <w:t>0.0%</w:t>
            </w:r>
          </w:p>
        </w:tc>
        <w:tc>
          <w:tcPr>
            <w:tcW w:type="dxa" w:w="1080"/>
          </w:tcPr>
          <w:p>
            <w:r>
              <w:rPr>
                <w:rFonts w:ascii="Calibri" w:hAnsi="Calibri"/>
                <w:sz w:val="22"/>
              </w:rPr>
              <w:t>No explicit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Gross Margin — Q2 2026</w:t>
            </w:r>
          </w:p>
        </w:tc>
        <w:tc>
          <w:tcPr>
            <w:tcW w:type="dxa" w:w="1080"/>
          </w:tcPr>
          <w:p>
            <w:r>
              <w:rPr>
                <w:rFonts w:ascii="Calibri" w:hAnsi="Calibri"/>
                <w:sz w:val="22"/>
              </w:rPr>
              <w:t>25.22%</w:t>
            </w:r>
          </w:p>
        </w:tc>
        <w:tc>
          <w:tcPr>
            <w:tcW w:type="dxa" w:w="1080"/>
          </w:tcPr>
          <w:p>
            <w:r>
              <w:rPr>
                <w:rFonts w:ascii="Calibri" w:hAnsi="Calibri"/>
                <w:sz w:val="22"/>
              </w:rPr>
              <w:t>25.21%</w:t>
            </w:r>
          </w:p>
        </w:tc>
        <w:tc>
          <w:tcPr>
            <w:tcW w:type="dxa" w:w="1080"/>
          </w:tcPr>
          <w:p>
            <w:r>
              <w:rPr>
                <w:rFonts w:ascii="Calibri" w:hAnsi="Calibri"/>
                <w:sz w:val="22"/>
              </w:rPr>
              <w:t>-0.1 bps</w:t>
            </w:r>
          </w:p>
        </w:tc>
        <w:tc>
          <w:tcPr>
            <w:tcW w:type="dxa" w:w="1080"/>
          </w:tcPr>
          <w:p>
            <w:r>
              <w:rPr>
                <w:rFonts w:ascii="Calibri" w:hAnsi="Calibri"/>
                <w:sz w:val="22"/>
              </w:rPr>
              <w:t>“Strong ranges” of recent quarters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Backlog — Q2 2026</w:t>
            </w:r>
          </w:p>
        </w:tc>
        <w:tc>
          <w:tcPr>
            <w:tcW w:type="dxa" w:w="1080"/>
          </w:tcPr>
          <w:p>
            <w:r>
              <w:rPr>
                <w:rFonts w:ascii="Calibri" w:hAnsi="Calibri"/>
                <w:sz w:val="22"/>
              </w:rPr>
              <w:t>$12.187B</w:t>
            </w:r>
          </w:p>
        </w:tc>
        <w:tc>
          <w:tcPr>
            <w:tcW w:type="dxa" w:w="1080"/>
          </w:tcPr>
          <w:p>
            <w:r>
              <w:rPr>
                <w:rFonts w:ascii="Calibri" w:hAnsi="Calibri"/>
                <w:sz w:val="22"/>
              </w:rPr>
              <w:t>$12.653B</w:t>
            </w:r>
          </w:p>
        </w:tc>
        <w:tc>
          <w:tcPr>
            <w:tcW w:type="dxa" w:w="1080"/>
          </w:tcPr>
          <w:p>
            <w:r>
              <w:rPr>
                <w:rFonts w:ascii="Calibri" w:hAnsi="Calibri"/>
                <w:sz w:val="22"/>
              </w:rPr>
              <w:t>+3.8%</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Apr 28, 2026 used as the post-Q1 earnings baseline (5 trading days after Apr 23 print). The near-zero revision delta across all KPIs since the Q1 print indicates the Street has fully absorbed the guidance raise and is not running ahead of management — this limits the risk of a “consensus too high” setup heading into Q2.</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FIX has essentially flatlined since the Q1 earnings print (+1.0%), meaningfully lagging SPY (+5.5%) and XLI (+2.7%) — the underperformance appears sentiment-driven (multiple compression on a high-multiple name) rather than estimate-driven, as revisions have been flat-to-slightly-positive. This creates a cleaner setup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FIX vs. XLI (Industrials ETF) vs. S&amp;P 500 (SPY) — Indexed to 100 at Apr 23, 2026 Q1 Earnings Date. Source: Stock Price Data.</w:t>
      </w:r>
    </w:p>
    <w:p>
      <w:r>
        <w:rPr>
          <w:rFonts w:ascii="Calibri" w:hAnsi="Calibri"/>
          <w:color w:val="525866"/>
          <w:sz w:val="22"/>
        </w:rPr>
        <w:t xml:space="preserve">Since the Q1 2026 earnings print on April 23, FIX has returned approximately +1.0% on a price basis, compared to +5.5% for the S&amp;P 500 (SPY) and +2.7% for the Industrials ETF (XLI). The stock initially rallied sharply in the days following the massive Q1 beat (reaching ~$2,043 by May 6), then gave back gains through mid-June before recovering. </w:t>
      </w:r>
      <w:r>
        <w:rPr>
          <w:rFonts w:ascii="Calibri" w:hAnsi="Calibri"/>
          <w:b/>
          <w:color w:val="525866"/>
          <w:sz w:val="22"/>
        </w:rPr>
        <w:t>Two material events marked the period: the May 1 investor presentation / Utah electrical acquisition close, and the June 22 COO appointment of Craig Sasser.</w:t>
      </w:r>
      <w:r>
        <w:rPr>
          <w:rFonts w:ascii="Calibri" w:hAnsi="Calibri"/>
          <w:color w:val="525866"/>
          <w:sz w:val="22"/>
        </w:rPr>
        <w:t xml:space="preserve"> The relative underperformance vs. SPY and XLI is notable given the strong fundamental backdrop and suggests the market is applying some multiple compression to the high-valuation name, possibly reflecting concerns about the sustainability of Q1’s record margins post the $43M non-recurring items. With the stock essentially flat since earnings and estimates unchanged, the setup into Q2 is not pre-priced for a beat.</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June 22 COO appointment of Craig Sasser, which signals management is building operational depth to support the multi-year modular and data center growth runway — a positive structural signal ahead of the print.</w:t>
      </w:r>
    </w:p>
    <w:p>
      <w:pPr>
        <w:pStyle w:val="ListBullet"/>
        <w:ind w:left="360" w:hanging="360"/>
      </w:pPr>
      <w:r>
        <w:rPr>
          <w:rFonts w:ascii="Calibri" w:hAnsi="Calibri"/>
          <w:b/>
          <w:color w:val="525866"/>
          <w:sz w:val="22"/>
        </w:rPr>
        <w:t>June 22, 2026 — COO Appointment: Craig Sasser Named Chief Operating Officer.</w:t>
      </w:r>
      <w:r>
        <w:rPr>
          <w:rFonts w:ascii="Calibri" w:hAnsi="Calibri"/>
          <w:color w:val="525866"/>
          <w:sz w:val="22"/>
        </w:rPr>
        <w:t xml:space="preserve"> Sasser, previously Regional VP – Atlantic Region (joined 2018, 34 years prior MEP experience), appointed COO effective July 1, 2026. Simultaneously, Briston Blair elevated to Chief Strategy &amp; Innovation Officer. </w:t>
      </w:r>
      <w:r>
        <w:rPr>
          <w:rFonts w:ascii="Calibri" w:hAnsi="Calibri"/>
          <w:b/>
          <w:color w:val="525866"/>
          <w:sz w:val="22"/>
        </w:rPr>
        <w:t>Implication:</w:t>
      </w:r>
      <w:r>
        <w:rPr>
          <w:rFonts w:ascii="Calibri" w:hAnsi="Calibri"/>
          <w:color w:val="525866"/>
          <w:sz w:val="22"/>
        </w:rPr>
        <w:t xml:space="preserve"> Signals management is building C-suite depth to manage the company’s rapid scale-up; COO role is new and reflects the operational complexity of running $12B+ backlog with modular expansion. Positive for execution confidence heading into Q2.</w:t>
      </w:r>
    </w:p>
    <w:p>
      <w:pPr>
        <w:pStyle w:val="ListBullet"/>
        <w:ind w:left="360" w:hanging="360"/>
      </w:pPr>
      <w:r>
        <w:rPr>
          <w:rFonts w:ascii="Calibri" w:hAnsi="Calibri"/>
          <w:b/>
          <w:color w:val="525866"/>
          <w:sz w:val="22"/>
        </w:rPr>
        <w:t>May 1, 2026 — Utah Electrical Acquisition Closed &amp; Investor Presentation Filed.</w:t>
      </w:r>
      <w:r>
        <w:rPr>
          <w:rFonts w:ascii="Calibri" w:hAnsi="Calibri"/>
          <w:color w:val="525866"/>
          <w:sz w:val="22"/>
        </w:rPr>
        <w:t xml:space="preserve"> The electrical contractor acquisition (announced March 2026, ~$250M annualized revenue, 8-10% EBITDA margins) closed as expected. Investor presentation posted as 8-K EX-99.1 confirmed Q1 financials and highlighted technology at 56% of revenue, modular at 17%, and $1.05B cash on hand with only $39.1M total debt. </w:t>
      </w:r>
      <w:r>
        <w:rPr>
          <w:rFonts w:ascii="Calibri" w:hAnsi="Calibri"/>
          <w:b/>
          <w:color w:val="525866"/>
          <w:sz w:val="22"/>
        </w:rPr>
        <w:t>Implication:</w:t>
      </w:r>
      <w:r>
        <w:rPr>
          <w:rFonts w:ascii="Calibri" w:hAnsi="Calibri"/>
          <w:color w:val="525866"/>
          <w:sz w:val="22"/>
        </w:rPr>
        <w:t xml:space="preserve"> Acquisition adds ~$60M+ quarterly revenue run-rate; clean balance sheet (Debt/EBITDA ~0.02x) preserves M&amp;A optionality.</w:t>
      </w:r>
    </w:p>
    <w:p>
      <w:pPr>
        <w:pStyle w:val="ListBullet"/>
        <w:ind w:left="360" w:hanging="360"/>
      </w:pPr>
      <w:r>
        <w:rPr>
          <w:rFonts w:ascii="Calibri" w:hAnsi="Calibri"/>
          <w:b/>
          <w:color w:val="525866"/>
          <w:sz w:val="22"/>
        </w:rPr>
        <w:t>April 23, 2026 — Q1 2026 Earnings: Massive Beat Across All KPIs.</w:t>
      </w:r>
      <w:r>
        <w:rPr>
          <w:rFonts w:ascii="Calibri" w:hAnsi="Calibri"/>
          <w:color w:val="525866"/>
          <w:sz w:val="22"/>
        </w:rPr>
        <w:t xml:space="preserve"> Revenue of $2.865B (+56% YoY), operating EPS of $10.58 (vs. $6.99 consensus, +51%), record gross margin of 26.3% (includes $43M non-recurring), record backlog of $12.5B. Full-year same-store revenue guidance raised to mid-to-high 20s%. Dividend raised to $0.80/quarter. </w:t>
      </w:r>
      <w:r>
        <w:rPr>
          <w:rFonts w:ascii="Calibri" w:hAnsi="Calibri"/>
          <w:b/>
          <w:color w:val="525866"/>
          <w:sz w:val="22"/>
        </w:rPr>
        <w:t>Implication:</w:t>
      </w:r>
      <w:r>
        <w:rPr>
          <w:rFonts w:ascii="Calibri" w:hAnsi="Calibri"/>
          <w:color w:val="525866"/>
          <w:sz w:val="22"/>
        </w:rPr>
        <w:t xml:space="preserve"> Sets a high bar for Q2 but management’s explicit flagging of the $43M non-recurring item provides a clear margin framework for the Street.</w:t>
      </w:r>
    </w:p>
    <w:p>
      <w:pPr>
        <w:pStyle w:val="ListBullet"/>
        <w:ind w:left="360" w:hanging="360"/>
      </w:pPr>
      <w:r>
        <w:rPr>
          <w:rFonts w:ascii="Calibri" w:hAnsi="Calibri"/>
          <w:b/>
          <w:color w:val="525866"/>
          <w:sz w:val="22"/>
        </w:rPr>
        <w:t>April 23, 2026 — Dividend Raised to $0.80/Quarter.</w:t>
      </w:r>
      <w:r>
        <w:rPr>
          <w:rFonts w:ascii="Calibri" w:hAnsi="Calibri"/>
          <w:color w:val="525866"/>
          <w:sz w:val="22"/>
        </w:rPr>
        <w:t xml:space="preserve"> Represents the 14th consecutive annual dividend increase. </w:t>
      </w:r>
      <w:r>
        <w:rPr>
          <w:rFonts w:ascii="Calibri" w:hAnsi="Calibri"/>
          <w:b/>
          <w:color w:val="525866"/>
          <w:sz w:val="22"/>
        </w:rPr>
        <w:t>Implication:</w:t>
      </w:r>
      <w:r>
        <w:rPr>
          <w:rFonts w:ascii="Calibri" w:hAnsi="Calibri"/>
          <w:color w:val="525866"/>
          <w:sz w:val="22"/>
        </w:rPr>
        <w:t xml:space="preserve"> Signals management confidence in sustained free cash flow generation.</w:t>
      </w:r>
    </w:p>
    <w:p>
      <w:pPr>
        <w:pStyle w:val="ListBullet"/>
        <w:ind w:left="360" w:hanging="360"/>
      </w:pPr>
      <w:r>
        <w:rPr>
          <w:rFonts w:ascii="Calibri" w:hAnsi="Calibri"/>
          <w:b/>
          <w:color w:val="525866"/>
          <w:sz w:val="22"/>
        </w:rPr>
        <w:t>Ongoing — Data Center Demand Remains Unprecedented.</w:t>
      </w:r>
      <w:r>
        <w:rPr>
          <w:rFonts w:ascii="Calibri" w:hAnsi="Calibri"/>
          <w:color w:val="525866"/>
          <w:sz w:val="22"/>
        </w:rPr>
        <w:t xml:space="preserve"> Management described demand as exceeding supply for the first time in industry history, with the binding constraint being skilled labor (not demand). Pipeline described as “very full, very strong, coast to coast.” Texas is the largest epicenter; Mid-Atlantic, Carolinas, Virginia also active. </w:t>
      </w:r>
      <w:r>
        <w:rPr>
          <w:rFonts w:ascii="Calibri" w:hAnsi="Calibri"/>
          <w:b/>
          <w:color w:val="525866"/>
          <w:sz w:val="22"/>
        </w:rPr>
        <w:t>Implication:</w:t>
      </w:r>
      <w:r>
        <w:rPr>
          <w:rFonts w:ascii="Calibri" w:hAnsi="Calibri"/>
          <w:color w:val="525866"/>
          <w:sz w:val="22"/>
        </w:rPr>
        <w:t xml:space="preserve"> Demand visibility supports above-20% same-store growth for remaining 2026 quarters.</w:t>
      </w:r>
    </w:p>
    <w:p>
      <w:pPr>
        <w:pStyle w:val="ListBullet"/>
        <w:ind w:left="360" w:hanging="360"/>
      </w:pPr>
      <w:r>
        <w:rPr>
          <w:rFonts w:ascii="Calibri" w:hAnsi="Calibri"/>
          <w:b/>
          <w:color w:val="525866"/>
          <w:sz w:val="22"/>
        </w:rPr>
        <w:t>Ongoing — Modular Capacity Expansion at Elevated CapEx (~5% of Revenue).</w:t>
      </w:r>
      <w:r>
        <w:rPr>
          <w:rFonts w:ascii="Calibri" w:hAnsi="Calibri"/>
          <w:color w:val="525866"/>
          <w:sz w:val="22"/>
        </w:rPr>
        <w:t xml:space="preserve"> Company purchased its largest building ever in Houston in Q1 for modular assembly; on track for 4M sq ft by year-end. All 2026 capacity committed to existing hyperscale customers under multi-year volume commitments. </w:t>
      </w:r>
      <w:r>
        <w:rPr>
          <w:rFonts w:ascii="Calibri" w:hAnsi="Calibri"/>
          <w:b/>
          <w:color w:val="525866"/>
          <w:sz w:val="22"/>
        </w:rPr>
        <w:t>Implication:</w:t>
      </w:r>
      <w:r>
        <w:rPr>
          <w:rFonts w:ascii="Calibri" w:hAnsi="Calibri"/>
          <w:color w:val="525866"/>
          <w:sz w:val="22"/>
        </w:rPr>
        <w:t xml:space="preserve"> Elevated CapEx ($147M in Q1 alone vs. $22M in Q1 2025) is a near-term FCF headwind but reflects locked-in multi-year revenue.</w:t>
      </w:r>
    </w:p>
    <w:p>
      <w:r>
        <w:br w:type="page"/>
      </w:r>
    </w:p>
    <w:p>
      <w:pPr>
        <w:pStyle w:val="Heading1"/>
        <w:pBdr>
          <w:bottom w:val="single" w:sz="4" w:space="1" w:color="FB9120"/>
        </w:pBdr>
      </w:pPr>
      <w:r>
        <w:rPr>
          <w:rFonts w:ascii="Calibri" w:hAnsi="Calibri"/>
          <w:b/>
          <w:color w:val="3B4259"/>
          <w:sz w:val="40"/>
        </w:rPr>
        <w:t>7. Peer Commentaries — Read-Through for FIX Q2 2026</w:t>
      </w:r>
    </w:p>
    <w:p>
      <w:r>
        <w:rPr>
          <w:rFonts w:ascii="Calibri" w:hAnsi="Calibri"/>
          <w:b/>
          <w:color w:val="525866"/>
          <w:sz w:val="22"/>
        </w:rPr>
        <w:t xml:space="preserve">Key Takeaway: </w:t>
      </w:r>
      <w:r>
        <w:rPr>
          <w:rFonts w:ascii="Calibri" w:hAnsi="Calibri"/>
          <w:color w:val="525866"/>
          <w:sz w:val="22"/>
        </w:rPr>
        <w:t>Across all peers reporting in the last 60 days, the read-through for FIX is uniformly positive — data center demand is described as “unprecedented,” backlogs are at records, and labor (not demand) remains the binding constraint. The most direct read-throughs are from EME (mechanical/electrical MEP peer) and STRL (data center site work), both of which reported Q1 2026 results with strong data center commentary applicable to FIX’s Q2 setup.</w:t>
      </w:r>
    </w:p>
    <w:p>
      <w:r>
        <w:rPr>
          <w:rFonts w:ascii="Calibri" w:hAnsi="Calibri"/>
          <w:i/>
          <w:color w:val="525866"/>
          <w:sz w:val="22"/>
        </w:rPr>
        <w:t xml:space="preserve">Note on peer selection: </w:t>
      </w:r>
      <w:r>
        <w:rPr>
          <w:rFonts w:ascii="Calibri" w:hAnsi="Calibri"/>
          <w:i/>
          <w:color w:val="525866"/>
          <w:sz w:val="22"/>
        </w:rPr>
        <w:t>Only commentary from peers’ Q1 2026 earnings calls (reported April–May 2026) and subsequent events (investor days, 8-Ks through July 2026) is included below, as these reflect conditions during or after FIX’s current reporting quarter (Q2 2026). Prior-quarter results commentary has been excluded.</w:t>
      </w:r>
    </w:p>
    <w:p>
      <w:pPr>
        <w:pStyle w:val="Heading2"/>
      </w:pPr>
      <w:r>
        <w:rPr>
          <w:rFonts w:ascii="Calibri" w:hAnsi="Calibri"/>
          <w:b/>
          <w:color w:val="3B4259"/>
          <w:sz w:val="28"/>
        </w:rPr>
        <w:t>EMCOR Group (EME) — Q1 2026 Earnings Call (April 29, 2026)</w:t>
      </w:r>
    </w:p>
    <w:p>
      <w:r>
        <w:rPr>
          <w:rFonts w:ascii="Calibri" w:hAnsi="Calibri"/>
          <w:b/>
          <w:color w:val="525866"/>
          <w:sz w:val="22"/>
        </w:rPr>
        <w:t xml:space="preserve">Relevance to FIX: </w:t>
      </w:r>
      <w:r>
        <w:rPr>
          <w:rFonts w:ascii="Calibri" w:hAnsi="Calibri"/>
          <w:color w:val="525866"/>
          <w:sz w:val="22"/>
        </w:rPr>
        <w:t>EME is the most direct mechanical and electrical MEP peer. Its Q1 2026 commentary is highly applicable to FIX’s Q2 setup.</w:t>
      </w:r>
    </w:p>
    <w:p>
      <w:pPr>
        <w:pStyle w:val="ListBullet"/>
        <w:ind w:left="360" w:hanging="360"/>
      </w:pPr>
      <w:r>
        <w:rPr>
          <w:rFonts w:ascii="Calibri" w:hAnsi="Calibri"/>
          <w:b/>
          <w:color w:val="525866"/>
          <w:sz w:val="22"/>
        </w:rPr>
        <w:t xml:space="preserve">Data center demand: </w:t>
      </w:r>
      <w:r>
        <w:rPr>
          <w:rFonts w:ascii="Calibri" w:hAnsi="Calibri"/>
          <w:color w:val="525866"/>
          <w:sz w:val="22"/>
        </w:rPr>
        <w:t xml:space="preserve">“We see no sign of slowing demand in this vertical, where customer investments in AI infrastructure, cloud infrastructure and overall digital transformation are driving unprecedented levels of activity.” Electrical construction revenues from network &amp; communications (data centers) grew nearly 50%; mechanical construction data center revenues grew 86%. </w:t>
      </w:r>
      <w:r>
        <w:rPr>
          <w:rFonts w:ascii="Calibri" w:hAnsi="Calibri"/>
          <w:b/>
          <w:color w:val="525866"/>
          <w:sz w:val="22"/>
        </w:rPr>
        <w:t>Read-through:</w:t>
      </w:r>
      <w:r>
        <w:rPr>
          <w:rFonts w:ascii="Calibri" w:hAnsi="Calibri"/>
          <w:color w:val="525866"/>
          <w:sz w:val="22"/>
        </w:rPr>
        <w:t xml:space="preserve"> Directly validates FIX’s technology sector revenue acceleration into Q2.</w:t>
      </w:r>
    </w:p>
    <w:p>
      <w:pPr>
        <w:pStyle w:val="ListBullet"/>
        <w:ind w:left="360" w:hanging="360"/>
      </w:pPr>
      <w:r>
        <w:rPr>
          <w:rFonts w:ascii="Calibri" w:hAnsi="Calibri"/>
          <w:b/>
          <w:color w:val="525866"/>
          <w:sz w:val="22"/>
        </w:rPr>
        <w:t xml:space="preserve">Backlog / RPOs: </w:t>
      </w:r>
      <w:r>
        <w:rPr>
          <w:rFonts w:ascii="Calibri" w:hAnsi="Calibri"/>
          <w:color w:val="525866"/>
          <w:sz w:val="22"/>
        </w:rPr>
        <w:t xml:space="preserve">RPOs reached $15.62B at Q1 end, +32.9% YoY and +17.9% sequentially. Record book-to-bill of 1.5x. 78% expected to burn within 12 months. </w:t>
      </w:r>
      <w:r>
        <w:rPr>
          <w:rFonts w:ascii="Calibri" w:hAnsi="Calibri"/>
          <w:b/>
          <w:color w:val="525866"/>
          <w:sz w:val="22"/>
        </w:rPr>
        <w:t>Read-through:</w:t>
      </w:r>
      <w:r>
        <w:rPr>
          <w:rFonts w:ascii="Calibri" w:hAnsi="Calibri"/>
          <w:color w:val="525866"/>
          <w:sz w:val="22"/>
        </w:rPr>
        <w:t xml:space="preserve"> Confirms broad-based bookings strength; supports FIX’s expectation of continued backlog growth in Q2.</w:t>
      </w:r>
    </w:p>
    <w:p>
      <w:pPr>
        <w:pStyle w:val="ListBullet"/>
        <w:ind w:left="360" w:hanging="360"/>
      </w:pPr>
      <w:r>
        <w:rPr>
          <w:rFonts w:ascii="Calibri" w:hAnsi="Calibri"/>
          <w:b/>
          <w:color w:val="525866"/>
          <w:sz w:val="22"/>
        </w:rPr>
        <w:t xml:space="preserve">Margins: </w:t>
      </w:r>
      <w:r>
        <w:rPr>
          <w:rFonts w:ascii="Calibri" w:hAnsi="Calibri"/>
          <w:color w:val="525866"/>
          <w:sz w:val="22"/>
        </w:rPr>
        <w:t xml:space="preserve">Record Q1 operating income of $403.8M (8.7% margin), gross margin of 18.7% (record for Q1). Mechanical margin declined slightly due to mix shift toward GMP/cost-plus contracts for AI data centers — management described this as a positive risk-adjustment. </w:t>
      </w:r>
      <w:r>
        <w:rPr>
          <w:rFonts w:ascii="Calibri" w:hAnsi="Calibri"/>
          <w:b/>
          <w:color w:val="525866"/>
          <w:sz w:val="22"/>
        </w:rPr>
        <w:t>Read-through:</w:t>
      </w:r>
      <w:r>
        <w:rPr>
          <w:rFonts w:ascii="Calibri" w:hAnsi="Calibri"/>
          <w:color w:val="525866"/>
          <w:sz w:val="22"/>
        </w:rPr>
        <w:t xml:space="preserve"> Mix shift toward GMP contracts is a sector-wide dynamic; FIX’s margin sustainability will be a key Q2 focus.</w:t>
      </w:r>
    </w:p>
    <w:p>
      <w:pPr>
        <w:pStyle w:val="ListBullet"/>
        <w:ind w:left="360" w:hanging="360"/>
      </w:pPr>
      <w:r>
        <w:rPr>
          <w:rFonts w:ascii="Calibri" w:hAnsi="Calibri"/>
          <w:b/>
          <w:color w:val="525866"/>
          <w:sz w:val="22"/>
        </w:rPr>
        <w:t xml:space="preserve">Full-year 2026 guidance raised: </w:t>
      </w:r>
      <w:r>
        <w:rPr>
          <w:rFonts w:ascii="Calibri" w:hAnsi="Calibri"/>
          <w:color w:val="525866"/>
          <w:sz w:val="22"/>
        </w:rPr>
        <w:t xml:space="preserve">Revenue guidance raised to $18.5B–$19.25B; EPS to $28.25–$29.75. Management noted “continued strong operating margins throughout 2026.” </w:t>
      </w:r>
      <w:r>
        <w:rPr>
          <w:rFonts w:ascii="Calibri" w:hAnsi="Calibri"/>
          <w:b/>
          <w:color w:val="525866"/>
          <w:sz w:val="22"/>
        </w:rPr>
        <w:t>Read-through:</w:t>
      </w:r>
      <w:r>
        <w:rPr>
          <w:rFonts w:ascii="Calibri" w:hAnsi="Calibri"/>
          <w:color w:val="525866"/>
          <w:sz w:val="22"/>
        </w:rPr>
        <w:t xml:space="preserve"> Peer raising guidance is a positive signal for the sector heading into FIX’s Q2 print.</w:t>
      </w:r>
    </w:p>
    <w:p>
      <w:pPr>
        <w:pStyle w:val="ListBullet"/>
        <w:ind w:left="360" w:hanging="360"/>
      </w:pPr>
      <w:r>
        <w:rPr>
          <w:rFonts w:ascii="Calibri" w:hAnsi="Calibri"/>
          <w:b/>
          <w:color w:val="525866"/>
          <w:sz w:val="22"/>
        </w:rPr>
        <w:t xml:space="preserve">Labor: </w:t>
      </w:r>
      <w:r>
        <w:rPr>
          <w:rFonts w:ascii="Calibri" w:hAnsi="Calibri"/>
          <w:color w:val="525866"/>
          <w:sz w:val="22"/>
        </w:rPr>
        <w:t xml:space="preserve">“No notable changes” in craft labor access. Primary bottleneck is supervision (foremen, project managers). Expanding Miller’s Pro trade program across subsidiaries. </w:t>
      </w:r>
      <w:r>
        <w:rPr>
          <w:rFonts w:ascii="Calibri" w:hAnsi="Calibri"/>
          <w:b/>
          <w:color w:val="525866"/>
          <w:sz w:val="22"/>
        </w:rPr>
        <w:t>Read-through:</w:t>
      </w:r>
      <w:r>
        <w:rPr>
          <w:rFonts w:ascii="Calibri" w:hAnsi="Calibri"/>
          <w:color w:val="525866"/>
          <w:sz w:val="22"/>
        </w:rPr>
        <w:t xml:space="preserve"> Labor availability is stable, consistent with FIX’s “full-court press on recruiting” narrative.</w:t>
      </w:r>
    </w:p>
    <w:p>
      <w:pPr>
        <w:pStyle w:val="Heading2"/>
      </w:pPr>
      <w:r>
        <w:rPr>
          <w:rFonts w:ascii="Calibri" w:hAnsi="Calibri"/>
          <w:b/>
          <w:color w:val="3B4259"/>
          <w:sz w:val="28"/>
        </w:rPr>
        <w:t>Quanta Services (PWR) — Q1 2026 Earnings Call (April 30, 2026)</w:t>
      </w:r>
    </w:p>
    <w:p>
      <w:r>
        <w:rPr>
          <w:rFonts w:ascii="Calibri" w:hAnsi="Calibri"/>
          <w:b/>
          <w:color w:val="525866"/>
          <w:sz w:val="22"/>
        </w:rPr>
        <w:t xml:space="preserve">Relevance to FIX: </w:t>
      </w:r>
      <w:r>
        <w:rPr>
          <w:rFonts w:ascii="Calibri" w:hAnsi="Calibri"/>
          <w:color w:val="525866"/>
          <w:sz w:val="22"/>
        </w:rPr>
        <w:t>PWR is a large-cap infrastructure peer with significant data center and electrical exposure. Its commentary on demand duration and modular/fabrication investment directly parallels FIX’s strategy.</w:t>
      </w:r>
    </w:p>
    <w:p>
      <w:pPr>
        <w:pStyle w:val="ListBullet"/>
        <w:ind w:left="360" w:hanging="360"/>
      </w:pPr>
      <w:r>
        <w:rPr>
          <w:rFonts w:ascii="Calibri" w:hAnsi="Calibri"/>
          <w:b/>
          <w:color w:val="525866"/>
          <w:sz w:val="22"/>
        </w:rPr>
        <w:t xml:space="preserve">Data center demand: </w:t>
      </w:r>
      <w:r>
        <w:rPr>
          <w:rFonts w:ascii="Calibri" w:hAnsi="Calibri"/>
          <w:color w:val="525866"/>
          <w:sz w:val="22"/>
        </w:rPr>
        <w:t xml:space="preserve">Technology and load center revenue outlook raised to 70%–110% growth. CEO Earl Austin: “The opportunities are daily, and we’ll take advantage of those opportunities when they come in from balance of plant data centers to pieces thereof.” Nearly doubling off-site manufacturing/fabrication to ~6.7M sq ft. </w:t>
      </w:r>
      <w:r>
        <w:rPr>
          <w:rFonts w:ascii="Calibri" w:hAnsi="Calibri"/>
          <w:b/>
          <w:color w:val="525866"/>
          <w:sz w:val="22"/>
        </w:rPr>
        <w:t>Read-through:</w:t>
      </w:r>
      <w:r>
        <w:rPr>
          <w:rFonts w:ascii="Calibri" w:hAnsi="Calibri"/>
          <w:color w:val="525866"/>
          <w:sz w:val="22"/>
        </w:rPr>
        <w:t xml:space="preserve"> Validates FIX’s modular capacity expansion thesis; demand for prefab/modular is a labor force multiplier across the sector.</w:t>
      </w:r>
    </w:p>
    <w:p>
      <w:pPr>
        <w:pStyle w:val="ListBullet"/>
        <w:ind w:left="360" w:hanging="360"/>
      </w:pPr>
      <w:r>
        <w:rPr>
          <w:rFonts w:ascii="Calibri" w:hAnsi="Calibri"/>
          <w:b/>
          <w:color w:val="525866"/>
          <w:sz w:val="22"/>
        </w:rPr>
        <w:t xml:space="preserve">Record backlog of $48.5B; book-to-bill of 1.6x. </w:t>
      </w:r>
      <w:r>
        <w:rPr>
          <w:rFonts w:ascii="Calibri" w:hAnsi="Calibri"/>
          <w:color w:val="525866"/>
          <w:sz w:val="22"/>
        </w:rPr>
        <w:t xml:space="preserve">Broad-based across all segments. Management: “I expect our backlog to continue to rise for as far as I can see it over time.” </w:t>
      </w:r>
      <w:r>
        <w:rPr>
          <w:rFonts w:ascii="Calibri" w:hAnsi="Calibri"/>
          <w:b/>
          <w:color w:val="525866"/>
          <w:sz w:val="22"/>
        </w:rPr>
        <w:t>Read-through:</w:t>
      </w:r>
      <w:r>
        <w:rPr>
          <w:rFonts w:ascii="Calibri" w:hAnsi="Calibri"/>
          <w:color w:val="525866"/>
          <w:sz w:val="22"/>
        </w:rPr>
        <w:t xml:space="preserve"> Sector-wide bookings momentum supports FIX’s Q2 backlog expectations.</w:t>
      </w:r>
    </w:p>
    <w:p>
      <w:pPr>
        <w:pStyle w:val="ListBullet"/>
        <w:ind w:left="360" w:hanging="360"/>
      </w:pPr>
      <w:r>
        <w:rPr>
          <w:rFonts w:ascii="Calibri" w:hAnsi="Calibri"/>
          <w:b/>
          <w:color w:val="525866"/>
          <w:sz w:val="22"/>
        </w:rPr>
        <w:t xml:space="preserve">Cycle duration: </w:t>
      </w:r>
      <w:r>
        <w:rPr>
          <w:rFonts w:ascii="Calibri" w:hAnsi="Calibri"/>
          <w:color w:val="525866"/>
          <w:sz w:val="22"/>
        </w:rPr>
        <w:t xml:space="preserve">“I don’t think you’re looking at something that stops in 5 years. You’re seeing decades of type [demand].” Grid doubling will take decades. </w:t>
      </w:r>
      <w:r>
        <w:rPr>
          <w:rFonts w:ascii="Calibri" w:hAnsi="Calibri"/>
          <w:b/>
          <w:color w:val="525866"/>
          <w:sz w:val="22"/>
        </w:rPr>
        <w:t>Read-through:</w:t>
      </w:r>
      <w:r>
        <w:rPr>
          <w:rFonts w:ascii="Calibri" w:hAnsi="Calibri"/>
          <w:color w:val="525866"/>
          <w:sz w:val="22"/>
        </w:rPr>
        <w:t xml:space="preserve"> Reinforces FIX management’s multi-year visibility narrative and justifies elevated CapEx investment.</w:t>
      </w:r>
    </w:p>
    <w:p>
      <w:pPr>
        <w:pStyle w:val="ListBullet"/>
        <w:ind w:left="360" w:hanging="360"/>
      </w:pPr>
      <w:r>
        <w:rPr>
          <w:rFonts w:ascii="Calibri" w:hAnsi="Calibri"/>
          <w:b/>
          <w:color w:val="525866"/>
          <w:sz w:val="22"/>
        </w:rPr>
        <w:t xml:space="preserve">Full-year 2026 guidance raised: </w:t>
      </w:r>
      <w:r>
        <w:rPr>
          <w:rFonts w:ascii="Calibri" w:hAnsi="Calibri"/>
          <w:color w:val="525866"/>
          <w:sz w:val="22"/>
        </w:rPr>
        <w:t xml:space="preserve">Revenue to $34.7B–$35.2B; adjusted EBITDA to $3.49B–$3.65B. Seasonality changing — Q1 no longer falls off as sharply. </w:t>
      </w:r>
      <w:r>
        <w:rPr>
          <w:rFonts w:ascii="Calibri" w:hAnsi="Calibri"/>
          <w:b/>
          <w:color w:val="525866"/>
          <w:sz w:val="22"/>
        </w:rPr>
        <w:t>Read-through:</w:t>
      </w:r>
      <w:r>
        <w:rPr>
          <w:rFonts w:ascii="Calibri" w:hAnsi="Calibri"/>
          <w:color w:val="525866"/>
          <w:sz w:val="22"/>
        </w:rPr>
        <w:t xml:space="preserve"> Positive sector read-through; reduced seasonality benefits FIX’s Q2 revenue trajectory.</w:t>
      </w:r>
    </w:p>
    <w:p>
      <w:pPr>
        <w:pStyle w:val="ListBullet"/>
        <w:ind w:left="360" w:hanging="360"/>
      </w:pPr>
      <w:r>
        <w:rPr>
          <w:rFonts w:ascii="Calibri" w:hAnsi="Calibri"/>
          <w:b/>
          <w:color w:val="525866"/>
          <w:sz w:val="22"/>
        </w:rPr>
        <w:t xml:space="preserve">Supply chain: </w:t>
      </w:r>
      <w:r>
        <w:rPr>
          <w:rFonts w:ascii="Calibri" w:hAnsi="Calibri"/>
          <w:color w:val="525866"/>
          <w:sz w:val="22"/>
        </w:rPr>
        <w:t xml:space="preserve">“Our supply chain looks good. There’s a little stuff running around, but we’re able to execute around those things.” Transformer manufacturing investment has derisked supply chain. </w:t>
      </w:r>
      <w:r>
        <w:rPr>
          <w:rFonts w:ascii="Calibri" w:hAnsi="Calibri"/>
          <w:b/>
          <w:color w:val="525866"/>
          <w:sz w:val="22"/>
        </w:rPr>
        <w:t>Read-through:</w:t>
      </w:r>
      <w:r>
        <w:rPr>
          <w:rFonts w:ascii="Calibri" w:hAnsi="Calibri"/>
          <w:color w:val="525866"/>
          <w:sz w:val="22"/>
        </w:rPr>
        <w:t xml:space="preserve"> No material supply chain disruption flagged; consistent with FIX’s tariff resilience commentary.</w:t>
      </w:r>
    </w:p>
    <w:p>
      <w:pPr>
        <w:pStyle w:val="Heading2"/>
      </w:pPr>
      <w:r>
        <w:rPr>
          <w:rFonts w:ascii="Calibri" w:hAnsi="Calibri"/>
          <w:b/>
          <w:color w:val="3B4259"/>
          <w:sz w:val="28"/>
        </w:rPr>
        <w:t>Sterling Infrastructure (STRL) — Q1 2026 Earnings Call (May 5, 2026)</w:t>
      </w:r>
    </w:p>
    <w:p>
      <w:r>
        <w:rPr>
          <w:rFonts w:ascii="Calibri" w:hAnsi="Calibri"/>
          <w:b/>
          <w:color w:val="525866"/>
          <w:sz w:val="22"/>
        </w:rPr>
        <w:t xml:space="preserve">Relevance to FIX: </w:t>
      </w:r>
      <w:r>
        <w:rPr>
          <w:rFonts w:ascii="Calibri" w:hAnsi="Calibri"/>
          <w:color w:val="525866"/>
          <w:sz w:val="22"/>
        </w:rPr>
        <w:t>STRL is a data center site development and electrical services peer. Its commentary on Texas market growth, project size/duration expansion, and labor constraints is highly relevant to FIX’s Q2 setup.</w:t>
      </w:r>
    </w:p>
    <w:p>
      <w:pPr>
        <w:pStyle w:val="ListBullet"/>
        <w:ind w:left="360" w:hanging="360"/>
      </w:pPr>
      <w:r>
        <w:rPr>
          <w:rFonts w:ascii="Calibri" w:hAnsi="Calibri"/>
          <w:b/>
          <w:color w:val="525866"/>
          <w:sz w:val="22"/>
        </w:rPr>
        <w:t xml:space="preserve">Data center demand: </w:t>
      </w:r>
      <w:r>
        <w:rPr>
          <w:rFonts w:ascii="Calibri" w:hAnsi="Calibri"/>
          <w:color w:val="525866"/>
          <w:sz w:val="22"/>
        </w:rPr>
        <w:t xml:space="preserve">“We anticipate that the current strength in data center demand will continue for the foreseeable future. Customers are continuing to ask for more with projects growing in size, complexity and duration.” E-Infrastructure revenue grew 174% in Q1 (organic +100%+). </w:t>
      </w:r>
      <w:r>
        <w:rPr>
          <w:rFonts w:ascii="Calibri" w:hAnsi="Calibri"/>
          <w:b/>
          <w:color w:val="525866"/>
          <w:sz w:val="22"/>
        </w:rPr>
        <w:t>Read-through:</w:t>
      </w:r>
      <w:r>
        <w:rPr>
          <w:rFonts w:ascii="Calibri" w:hAnsi="Calibri"/>
          <w:color w:val="525866"/>
          <w:sz w:val="22"/>
        </w:rPr>
        <w:t xml:space="preserve"> Directly validates FIX’s technology sector acceleration; project size/duration expansion supports FIX’s extended backlog duration narrative.</w:t>
      </w:r>
    </w:p>
    <w:p>
      <w:pPr>
        <w:pStyle w:val="ListBullet"/>
        <w:ind w:left="360" w:hanging="360"/>
      </w:pPr>
      <w:r>
        <w:rPr>
          <w:rFonts w:ascii="Calibri" w:hAnsi="Calibri"/>
          <w:b/>
          <w:color w:val="525866"/>
          <w:sz w:val="22"/>
        </w:rPr>
        <w:t xml:space="preserve">Texas market: </w:t>
      </w:r>
      <w:r>
        <w:rPr>
          <w:rFonts w:ascii="Calibri" w:hAnsi="Calibri"/>
          <w:color w:val="525866"/>
          <w:sz w:val="22"/>
        </w:rPr>
        <w:t xml:space="preserve">“I think people will be shocked with the size and scope and quantity of data centers along with some other stuff being built in the Texas market” over the next 4–5 years. Projects are “extremely big” and “coming out extremely quickly.” </w:t>
      </w:r>
      <w:r>
        <w:rPr>
          <w:rFonts w:ascii="Calibri" w:hAnsi="Calibri"/>
          <w:b/>
          <w:color w:val="525866"/>
          <w:sz w:val="22"/>
        </w:rPr>
        <w:t>Read-through:</w:t>
      </w:r>
      <w:r>
        <w:rPr>
          <w:rFonts w:ascii="Calibri" w:hAnsi="Calibri"/>
          <w:color w:val="525866"/>
          <w:sz w:val="22"/>
        </w:rPr>
        <w:t xml:space="preserve"> FIX’s largest epicenter of demand is Texas; STRL’s commentary validates the multi-year runway there.</w:t>
      </w:r>
    </w:p>
    <w:p>
      <w:pPr>
        <w:pStyle w:val="ListBullet"/>
        <w:ind w:left="360" w:hanging="360"/>
      </w:pPr>
      <w:r>
        <w:rPr>
          <w:rFonts w:ascii="Calibri" w:hAnsi="Calibri"/>
          <w:b/>
          <w:color w:val="525866"/>
          <w:sz w:val="22"/>
        </w:rPr>
        <w:t xml:space="preserve">Backlog: </w:t>
      </w:r>
      <w:r>
        <w:rPr>
          <w:rFonts w:ascii="Calibri" w:hAnsi="Calibri"/>
          <w:color w:val="525866"/>
          <w:sz w:val="22"/>
        </w:rPr>
        <w:t xml:space="preserve">Signed backlog of $3.8B (+78% YoY); combined backlog of $5.2B (+131%). Book-to-burn of 2.1x (signed) and 3.5x (combined). </w:t>
      </w:r>
      <w:r>
        <w:rPr>
          <w:rFonts w:ascii="Calibri" w:hAnsi="Calibri"/>
          <w:b/>
          <w:color w:val="525866"/>
          <w:sz w:val="22"/>
        </w:rPr>
        <w:t>Read-through:</w:t>
      </w:r>
      <w:r>
        <w:rPr>
          <w:rFonts w:ascii="Calibri" w:hAnsi="Calibri"/>
          <w:color w:val="525866"/>
          <w:sz w:val="22"/>
        </w:rPr>
        <w:t xml:space="preserve"> Exceptional bookings momentum across the sector.</w:t>
      </w:r>
    </w:p>
    <w:p>
      <w:pPr>
        <w:pStyle w:val="ListBullet"/>
        <w:ind w:left="360" w:hanging="360"/>
      </w:pPr>
      <w:r>
        <w:rPr>
          <w:rFonts w:ascii="Calibri" w:hAnsi="Calibri"/>
          <w:b/>
          <w:color w:val="525866"/>
          <w:sz w:val="22"/>
        </w:rPr>
        <w:t xml:space="preserve">Margins: </w:t>
      </w:r>
      <w:r>
        <w:rPr>
          <w:rFonts w:ascii="Calibri" w:hAnsi="Calibri"/>
          <w:color w:val="525866"/>
          <w:sz w:val="22"/>
        </w:rPr>
        <w:t xml:space="preserve">Adjusted EBITDA margins expanded 150+ bps to a record 20% in Q1. E-Infrastructure operating margins expected in mid-20% range for FY2026. Management: “We’re certainly not at the top [of margin potential].” </w:t>
      </w:r>
      <w:r>
        <w:rPr>
          <w:rFonts w:ascii="Calibri" w:hAnsi="Calibri"/>
          <w:b/>
          <w:color w:val="525866"/>
          <w:sz w:val="22"/>
        </w:rPr>
        <w:t>Read-through:</w:t>
      </w:r>
      <w:r>
        <w:rPr>
          <w:rFonts w:ascii="Calibri" w:hAnsi="Calibri"/>
          <w:color w:val="525866"/>
          <w:sz w:val="22"/>
        </w:rPr>
        <w:t xml:space="preserve"> Margin expansion is achievable in the sector; supports FIX’s guidance for sustained strong margins.</w:t>
      </w:r>
    </w:p>
    <w:p>
      <w:pPr>
        <w:pStyle w:val="ListBullet"/>
        <w:ind w:left="360" w:hanging="360"/>
      </w:pPr>
      <w:r>
        <w:rPr>
          <w:rFonts w:ascii="Calibri" w:hAnsi="Calibri"/>
          <w:b/>
          <w:color w:val="525866"/>
          <w:sz w:val="22"/>
        </w:rPr>
        <w:t xml:space="preserve">Labor: </w:t>
      </w:r>
      <w:r>
        <w:rPr>
          <w:rFonts w:ascii="Calibri" w:hAnsi="Calibri"/>
          <w:color w:val="525866"/>
          <w:sz w:val="22"/>
        </w:rPr>
        <w:t xml:space="preserve">CEO: “I just wish I had 2,000 or 3,000 more electricians, and we would grow it even faster.” Tripling modular build capacity to reduce on-site electrician requirements. </w:t>
      </w:r>
      <w:r>
        <w:rPr>
          <w:rFonts w:ascii="Calibri" w:hAnsi="Calibri"/>
          <w:b/>
          <w:color w:val="525866"/>
          <w:sz w:val="22"/>
        </w:rPr>
        <w:t>Read-through:</w:t>
      </w:r>
      <w:r>
        <w:rPr>
          <w:rFonts w:ascii="Calibri" w:hAnsi="Calibri"/>
          <w:color w:val="525866"/>
          <w:sz w:val="22"/>
        </w:rPr>
        <w:t xml:space="preserve"> Electrician scarcity is sector-wide; FIX’s modular strategy is the right response.</w:t>
      </w:r>
    </w:p>
    <w:p>
      <w:pPr>
        <w:pStyle w:val="Heading2"/>
      </w:pPr>
      <w:r>
        <w:rPr>
          <w:rFonts w:ascii="Calibri" w:hAnsi="Calibri"/>
          <w:b/>
          <w:color w:val="3B4259"/>
          <w:sz w:val="28"/>
        </w:rPr>
        <w:t>MasTec (MTZ) — Q1 2026 Earnings Call (May 1, 2026) &amp; Investor Day (May 12, 2026) &amp; 8-K (July 7, 2026)</w:t>
      </w:r>
    </w:p>
    <w:p>
      <w:r>
        <w:rPr>
          <w:rFonts w:ascii="Calibri" w:hAnsi="Calibri"/>
          <w:b/>
          <w:color w:val="525866"/>
          <w:sz w:val="22"/>
        </w:rPr>
        <w:t xml:space="preserve">Relevance to FIX: </w:t>
      </w:r>
      <w:r>
        <w:rPr>
          <w:rFonts w:ascii="Calibri" w:hAnsi="Calibri"/>
          <w:color w:val="525866"/>
          <w:sz w:val="22"/>
        </w:rPr>
        <w:t>MTZ is a large infrastructure contractor with data center, power delivery, and communications exposure. Its Investor Day provided a comprehensive multi-year demand outlook, and its July 7 acquisition of Superior Group (a data center electrical contractor) is a direct read-through for FIX’s electrical M&amp;A strategy.</w:t>
      </w:r>
    </w:p>
    <w:p>
      <w:pPr>
        <w:pStyle w:val="ListBullet"/>
        <w:ind w:left="360" w:hanging="360"/>
      </w:pPr>
      <w:r>
        <w:rPr>
          <w:rFonts w:ascii="Calibri" w:hAnsi="Calibri"/>
          <w:b/>
          <w:color w:val="525866"/>
          <w:sz w:val="22"/>
        </w:rPr>
        <w:t xml:space="preserve">Data center demand (Investor Day, May 12): </w:t>
      </w:r>
      <w:r>
        <w:rPr>
          <w:rFonts w:ascii="Calibri" w:hAnsi="Calibri"/>
          <w:color w:val="525866"/>
          <w:sz w:val="22"/>
        </w:rPr>
        <w:t xml:space="preserve">TAM for data centers projected at $725B over the next 5 years — management suggested this “might actually be short based on what we’re seeing.” Currently building ~$1B in data center projects; pipeline of $5B+ in data centers, all repeat business. </w:t>
      </w:r>
      <w:r>
        <w:rPr>
          <w:rFonts w:ascii="Calibri" w:hAnsi="Calibri"/>
          <w:b/>
          <w:color w:val="525866"/>
          <w:sz w:val="22"/>
        </w:rPr>
        <w:t>Read-through:</w:t>
      </w:r>
      <w:r>
        <w:rPr>
          <w:rFonts w:ascii="Calibri" w:hAnsi="Calibri"/>
          <w:color w:val="525866"/>
          <w:sz w:val="22"/>
        </w:rPr>
        <w:t xml:space="preserve"> Hyperscale demand is durable and growing; validates FIX’s “unprecedented demand” framing.</w:t>
      </w:r>
    </w:p>
    <w:p>
      <w:pPr>
        <w:pStyle w:val="ListBullet"/>
        <w:ind w:left="360" w:hanging="360"/>
      </w:pPr>
      <w:r>
        <w:rPr>
          <w:rFonts w:ascii="Calibri" w:hAnsi="Calibri"/>
          <w:b/>
          <w:color w:val="525866"/>
          <w:sz w:val="22"/>
        </w:rPr>
        <w:t xml:space="preserve">Record backlog of $20.3B (Q1 2026), +28% YoY; book-to-bill of 1.4x. </w:t>
      </w:r>
      <w:r>
        <w:rPr>
          <w:rFonts w:ascii="Calibri" w:hAnsi="Calibri"/>
          <w:color w:val="525866"/>
          <w:sz w:val="22"/>
        </w:rPr>
        <w:t xml:space="preserve">Power Delivery backlog reached record $6.2B; Clean Energy &amp; Infrastructure backlog record $7.3B. </w:t>
      </w:r>
      <w:r>
        <w:rPr>
          <w:rFonts w:ascii="Calibri" w:hAnsi="Calibri"/>
          <w:b/>
          <w:color w:val="525866"/>
          <w:sz w:val="22"/>
        </w:rPr>
        <w:t>Read-through:</w:t>
      </w:r>
      <w:r>
        <w:rPr>
          <w:rFonts w:ascii="Calibri" w:hAnsi="Calibri"/>
          <w:color w:val="525866"/>
          <w:sz w:val="22"/>
        </w:rPr>
        <w:t xml:space="preserve"> Broad-based bookings strength across infrastructure verticals.</w:t>
      </w:r>
    </w:p>
    <w:p>
      <w:pPr>
        <w:pStyle w:val="ListBullet"/>
        <w:ind w:left="360" w:hanging="360"/>
      </w:pPr>
      <w:r>
        <w:rPr>
          <w:rFonts w:ascii="Calibri" w:hAnsi="Calibri"/>
          <w:b/>
          <w:color w:val="525866"/>
          <w:sz w:val="22"/>
        </w:rPr>
        <w:t xml:space="preserve">Q2 2026 guidance (Q1 call): </w:t>
      </w:r>
      <w:r>
        <w:rPr>
          <w:rFonts w:ascii="Calibri" w:hAnsi="Calibri"/>
          <w:color w:val="525866"/>
          <w:sz w:val="22"/>
        </w:rPr>
        <w:t xml:space="preserve">Revenue, adjusted EBITDA, and EPS expected to grow 21%, 38%, and 47% YoY respectively in Q2. Full-year 2026 revenue guidance raised to $17.5B (+22% YoY). </w:t>
      </w:r>
      <w:r>
        <w:rPr>
          <w:rFonts w:ascii="Calibri" w:hAnsi="Calibri"/>
          <w:b/>
          <w:color w:val="525866"/>
          <w:sz w:val="22"/>
        </w:rPr>
        <w:t>Read-through:</w:t>
      </w:r>
      <w:r>
        <w:rPr>
          <w:rFonts w:ascii="Calibri" w:hAnsi="Calibri"/>
          <w:color w:val="525866"/>
          <w:sz w:val="22"/>
        </w:rPr>
        <w:t xml:space="preserve"> Peer raising Q2 guidance is a positive sector signal for FIX’s Q2 print.</w:t>
      </w:r>
    </w:p>
    <w:p>
      <w:pPr>
        <w:pStyle w:val="ListBullet"/>
        <w:ind w:left="360" w:hanging="360"/>
      </w:pPr>
      <w:r>
        <w:rPr>
          <w:rFonts w:ascii="Calibri" w:hAnsi="Calibri"/>
          <w:b/>
          <w:color w:val="525866"/>
          <w:sz w:val="22"/>
        </w:rPr>
        <w:t xml:space="preserve">July 7, 2026 — MTZ acquires Superior Group (data center electrical contractor): </w:t>
      </w:r>
      <w:r>
        <w:rPr>
          <w:rFonts w:ascii="Calibri" w:hAnsi="Calibri"/>
          <w:color w:val="525866"/>
          <w:sz w:val="22"/>
        </w:rPr>
        <w:t xml:space="preserve">Superior Group is “a recognized leader in building data center infrastructure” and a “premier full-service electrical contractor focused on critical infrastructure.” MTZ raised $700M in new term loans and expanded revolver by $350M to fund the deal. </w:t>
      </w:r>
      <w:r>
        <w:rPr>
          <w:rFonts w:ascii="Calibri" w:hAnsi="Calibri"/>
          <w:b/>
          <w:color w:val="525866"/>
          <w:sz w:val="22"/>
        </w:rPr>
        <w:t>Read-through:</w:t>
      </w:r>
      <w:r>
        <w:rPr>
          <w:rFonts w:ascii="Calibri" w:hAnsi="Calibri"/>
          <w:color w:val="525866"/>
          <w:sz w:val="22"/>
        </w:rPr>
        <w:t xml:space="preserve"> A major peer paying a significant premium to acquire a data center electrical contractor validates the scarcity value of FIX’s assembled electrical workforce and modular capabilities. Positive for FIX’s valuation.</w:t>
      </w:r>
    </w:p>
    <w:p>
      <w:pPr>
        <w:pStyle w:val="ListBullet"/>
        <w:ind w:left="360" w:hanging="360"/>
      </w:pPr>
      <w:r>
        <w:rPr>
          <w:rFonts w:ascii="Calibri" w:hAnsi="Calibri"/>
          <w:b/>
          <w:color w:val="525866"/>
          <w:sz w:val="22"/>
        </w:rPr>
        <w:t xml:space="preserve">Long-term outlook (Investor Day): </w:t>
      </w:r>
      <w:r>
        <w:rPr>
          <w:rFonts w:ascii="Calibri" w:hAnsi="Calibri"/>
          <w:color w:val="525866"/>
          <w:sz w:val="22"/>
        </w:rPr>
        <w:t xml:space="preserve">MTZ projects $22B in revenue by 2028 (15% organic CAGR from 2025), with 10%+ adjusted EBITDA margins. TAM growing from $685B in 2026 to $1T+ annually by 2030. CEO Jose Mas: “We are in the greatest infrastructure cycle in U.S. modern history.” </w:t>
      </w:r>
      <w:r>
        <w:rPr>
          <w:rFonts w:ascii="Calibri" w:hAnsi="Calibri"/>
          <w:b/>
          <w:color w:val="525866"/>
          <w:sz w:val="22"/>
        </w:rPr>
        <w:t>Read-through:</w:t>
      </w:r>
      <w:r>
        <w:rPr>
          <w:rFonts w:ascii="Calibri" w:hAnsi="Calibri"/>
          <w:color w:val="525866"/>
          <w:sz w:val="22"/>
        </w:rPr>
        <w:t xml:space="preserve"> Multi-year demand visibility is exceptional; supports FIX’s premium valuation and elevated CapEx investment.</w:t>
      </w:r>
    </w:p>
    <w:p>
      <w:pPr>
        <w:pStyle w:val="Heading2"/>
      </w:pPr>
      <w:r>
        <w:rPr>
          <w:rFonts w:ascii="Calibri" w:hAnsi="Calibri"/>
          <w:b/>
          <w:color w:val="3B4259"/>
          <w:sz w:val="28"/>
        </w:rPr>
        <w:t>Argan Inc. (AGX) — Q1 FY2027 Earnings Call (June 4, 2026)</w:t>
      </w:r>
    </w:p>
    <w:p>
      <w:r>
        <w:rPr>
          <w:rFonts w:ascii="Calibri" w:hAnsi="Calibri"/>
          <w:b/>
          <w:color w:val="525866"/>
          <w:sz w:val="22"/>
        </w:rPr>
        <w:t xml:space="preserve">Relevance to FIX: </w:t>
      </w:r>
      <w:r>
        <w:rPr>
          <w:rFonts w:ascii="Calibri" w:hAnsi="Calibri"/>
          <w:color w:val="525866"/>
          <w:sz w:val="22"/>
        </w:rPr>
        <w:t>AGX is a power plant and industrial construction contractor. Its commentary on data center power infrastructure demand and natural gas generation is relevant to FIX’s energy infrastructure end markets.</w:t>
      </w:r>
    </w:p>
    <w:p>
      <w:pPr>
        <w:pStyle w:val="ListBullet"/>
        <w:ind w:left="360" w:hanging="360"/>
      </w:pPr>
      <w:r>
        <w:rPr>
          <w:rFonts w:ascii="Calibri" w:hAnsi="Calibri"/>
          <w:b/>
          <w:color w:val="525866"/>
          <w:sz w:val="22"/>
        </w:rPr>
        <w:t xml:space="preserve">Data center power demand: </w:t>
      </w:r>
      <w:r>
        <w:rPr>
          <w:rFonts w:ascii="Calibri" w:hAnsi="Calibri"/>
          <w:color w:val="525866"/>
          <w:sz w:val="22"/>
        </w:rPr>
        <w:t xml:space="preserve">“The electrification of the economy, including the onshoring of domestic manufacturing, the use of EVs and the proliferation of data centers is creating urgent demand for additional energy infrastructure to support a power grid that is under tremendous pressure.” Industrial segment has a $125M data center project underway; sees “multiyear runway for opportunities” in thermal expansion tanks for data centers. </w:t>
      </w:r>
      <w:r>
        <w:rPr>
          <w:rFonts w:ascii="Calibri" w:hAnsi="Calibri"/>
          <w:b/>
          <w:color w:val="525866"/>
          <w:sz w:val="22"/>
        </w:rPr>
        <w:t>Read-through:</w:t>
      </w:r>
      <w:r>
        <w:rPr>
          <w:rFonts w:ascii="Calibri" w:hAnsi="Calibri"/>
          <w:color w:val="525866"/>
          <w:sz w:val="22"/>
        </w:rPr>
        <w:t xml:space="preserve"> Power infrastructure demand for data centers is durable and multi-year; supports FIX’s technology sector growth narrative.</w:t>
      </w:r>
    </w:p>
    <w:p>
      <w:pPr>
        <w:pStyle w:val="ListBullet"/>
        <w:ind w:left="360" w:hanging="360"/>
      </w:pPr>
      <w:r>
        <w:rPr>
          <w:rFonts w:ascii="Calibri" w:hAnsi="Calibri"/>
          <w:b/>
          <w:color w:val="525866"/>
          <w:sz w:val="22"/>
        </w:rPr>
        <w:t xml:space="preserve">Revenue growth: </w:t>
      </w:r>
      <w:r>
        <w:rPr>
          <w:rFonts w:ascii="Calibri" w:hAnsi="Calibri"/>
          <w:color w:val="525866"/>
          <w:sz w:val="22"/>
        </w:rPr>
        <w:t xml:space="preserve">Record Q1 FY2027 revenue of $291M (+50% YoY). Power segment backlog of $2.5B; consolidated backlog of $2.8B. CEO: $2B in annual revenue is “achievable down the road.” </w:t>
      </w:r>
      <w:r>
        <w:rPr>
          <w:rFonts w:ascii="Calibri" w:hAnsi="Calibri"/>
          <w:b/>
          <w:color w:val="525866"/>
          <w:sz w:val="22"/>
        </w:rPr>
        <w:t>Read-through:</w:t>
      </w:r>
      <w:r>
        <w:rPr>
          <w:rFonts w:ascii="Calibri" w:hAnsi="Calibri"/>
          <w:color w:val="525866"/>
          <w:sz w:val="22"/>
        </w:rPr>
        <w:t xml:space="preserve"> Smaller peer but confirms strong demand environment for complex infrastructure construction.</w:t>
      </w:r>
    </w:p>
    <w:p>
      <w:pPr>
        <w:pStyle w:val="ListBullet"/>
        <w:ind w:left="360" w:hanging="360"/>
      </w:pPr>
      <w:r>
        <w:rPr>
          <w:rFonts w:ascii="Calibri" w:hAnsi="Calibri"/>
          <w:b/>
          <w:color w:val="525866"/>
          <w:sz w:val="22"/>
        </w:rPr>
        <w:t xml:space="preserve">Margins: </w:t>
      </w:r>
      <w:r>
        <w:rPr>
          <w:rFonts w:ascii="Calibri" w:hAnsi="Calibri"/>
          <w:color w:val="525866"/>
          <w:sz w:val="22"/>
        </w:rPr>
        <w:t xml:space="preserve">Consolidated gross margin improved to 21% (from 19% prior year); adjusted EBITDA margin of 19.4%. Management “encouraged by the margin strength.” </w:t>
      </w:r>
      <w:r>
        <w:rPr>
          <w:rFonts w:ascii="Calibri" w:hAnsi="Calibri"/>
          <w:b/>
          <w:color w:val="525866"/>
          <w:sz w:val="22"/>
        </w:rPr>
        <w:t>Read-through:</w:t>
      </w:r>
      <w:r>
        <w:rPr>
          <w:rFonts w:ascii="Calibri" w:hAnsi="Calibri"/>
          <w:color w:val="525866"/>
          <w:sz w:val="22"/>
        </w:rPr>
        <w:t xml:space="preserve"> Margin expansion is achievable in complex infrastructure construction; positive read-through for FIX’s margin sustainability.</w:t>
      </w:r>
    </w:p>
    <w:p>
      <w:r>
        <w:rPr>
          <w:rFonts w:ascii="Calibri" w:hAnsi="Calibri"/>
          <w:b/>
          <w:color w:val="525866"/>
          <w:sz w:val="22"/>
        </w:rPr>
        <w:t xml:space="preserve">Peer Read-Through Summary: </w:t>
      </w:r>
      <w:r>
        <w:rPr>
          <w:rFonts w:ascii="Calibri" w:hAnsi="Calibri"/>
          <w:color w:val="525866"/>
          <w:sz w:val="22"/>
        </w:rPr>
        <w:t>The collective message from all four peers is unambiguously positive for FIX’s Q2 setup: (1) data center demand is accelerating, not decelerating; (2) backlogs are at records across the sector; (3) labor (not demand) is the binding constraint, validating FIX’s modular strategy; (4) margins are expanding in the sector; and (5) MTZ’s acquisition of a data center electrical contractor at a significant premium validates the scarcity value of FIX’s assembled workforce and capabilities. The only nuance is EME’s observation that GMP/cost-plus contract mix is increasing for AI data centers, which could be a modest margin headwind if FIX’s mix shifts similarly.</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Insider activity since the Q1 print is dominated by open-market sales from the CEO, CFO, and several directors — notable in aggregate size but occurring at elevated prices post-beat; no open-market buys were filed, though the pattern is consistent with profit-taking at record stock prices rather than a negative fundamental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Lane, Brian E.</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11,113</w:t>
            </w:r>
          </w:p>
        </w:tc>
        <w:tc>
          <w:tcPr>
            <w:tcW w:type="dxa" w:w="1440"/>
          </w:tcPr>
          <w:p>
            <w:r>
              <w:rPr>
                <w:rFonts w:ascii="Calibri" w:hAnsi="Calibri"/>
                <w:sz w:val="22"/>
              </w:rPr>
              <w:t>May 5, 2026</w:t>
            </w:r>
          </w:p>
        </w:tc>
        <w:tc>
          <w:tcPr>
            <w:tcW w:type="dxa" w:w="1440"/>
          </w:tcPr>
          <w:p>
            <w:r>
              <w:rPr>
                <w:rFonts w:ascii="Calibri" w:hAnsi="Calibri"/>
                <w:sz w:val="22"/>
              </w:rPr>
              <w:t>Largest single insider sale in the period; discretionary sale at elevated post-Q1 prices</w:t>
            </w:r>
          </w:p>
        </w:tc>
      </w:tr>
      <w:tr>
        <w:tc>
          <w:tcPr>
            <w:tcW w:type="dxa" w:w="1440"/>
          </w:tcPr>
          <w:p>
            <w:r>
              <w:rPr>
                <w:rFonts w:ascii="Calibri" w:hAnsi="Calibri"/>
                <w:sz w:val="22"/>
              </w:rPr>
              <w:t>George, William III</w:t>
            </w:r>
          </w:p>
        </w:tc>
        <w:tc>
          <w:tcPr>
            <w:tcW w:type="dxa" w:w="1440"/>
          </w:tcPr>
          <w:p>
            <w:r>
              <w:rPr>
                <w:rFonts w:ascii="Calibri" w:hAnsi="Calibri"/>
                <w:sz w:val="22"/>
              </w:rPr>
              <w:t>CFO</w:t>
            </w:r>
          </w:p>
        </w:tc>
        <w:tc>
          <w:tcPr>
            <w:tcW w:type="dxa" w:w="1440"/>
          </w:tcPr>
          <w:p>
            <w:r>
              <w:rPr>
                <w:rFonts w:ascii="Calibri" w:hAnsi="Calibri"/>
                <w:sz w:val="22"/>
              </w:rPr>
              <w:t>Open Market Sale</w:t>
            </w:r>
          </w:p>
        </w:tc>
        <w:tc>
          <w:tcPr>
            <w:tcW w:type="dxa" w:w="1440"/>
          </w:tcPr>
          <w:p>
            <w:r>
              <w:rPr>
                <w:rFonts w:ascii="Calibri" w:hAnsi="Calibri"/>
                <w:sz w:val="22"/>
              </w:rPr>
              <w:t>4,000</w:t>
            </w:r>
          </w:p>
        </w:tc>
        <w:tc>
          <w:tcPr>
            <w:tcW w:type="dxa" w:w="1440"/>
          </w:tcPr>
          <w:p>
            <w:r>
              <w:rPr>
                <w:rFonts w:ascii="Calibri" w:hAnsi="Calibri"/>
                <w:sz w:val="22"/>
              </w:rPr>
              <w:t>May 8, 2026</w:t>
            </w:r>
          </w:p>
        </w:tc>
        <w:tc>
          <w:tcPr>
            <w:tcW w:type="dxa" w:w="1440"/>
          </w:tcPr>
          <w:p>
            <w:r>
              <w:rPr>
                <w:rFonts w:ascii="Calibri" w:hAnsi="Calibri"/>
                <w:sz w:val="22"/>
              </w:rPr>
              <w:t>Discretionary sale; CFO retains 33,804 shares post-transaction</w:t>
            </w:r>
          </w:p>
        </w:tc>
      </w:tr>
      <w:tr>
        <w:tc>
          <w:tcPr>
            <w:tcW w:type="dxa" w:w="1440"/>
          </w:tcPr>
          <w:p>
            <w:r>
              <w:rPr>
                <w:rFonts w:ascii="Calibri" w:hAnsi="Calibri"/>
                <w:sz w:val="22"/>
              </w:rPr>
              <w:t>George, William III</w:t>
            </w:r>
          </w:p>
        </w:tc>
        <w:tc>
          <w:tcPr>
            <w:tcW w:type="dxa" w:w="1440"/>
          </w:tcPr>
          <w:p>
            <w:r>
              <w:rPr>
                <w:rFonts w:ascii="Calibri" w:hAnsi="Calibri"/>
                <w:sz w:val="22"/>
              </w:rPr>
              <w:t>CFO</w:t>
            </w:r>
          </w:p>
        </w:tc>
        <w:tc>
          <w:tcPr>
            <w:tcW w:type="dxa" w:w="1440"/>
          </w:tcPr>
          <w:p>
            <w:r>
              <w:rPr>
                <w:rFonts w:ascii="Calibri" w:hAnsi="Calibri"/>
                <w:sz w:val="22"/>
              </w:rPr>
              <w:t>Open Market Sale</w:t>
            </w:r>
          </w:p>
        </w:tc>
        <w:tc>
          <w:tcPr>
            <w:tcW w:type="dxa" w:w="1440"/>
          </w:tcPr>
          <w:p>
            <w:r>
              <w:rPr>
                <w:rFonts w:ascii="Calibri" w:hAnsi="Calibri"/>
                <w:sz w:val="22"/>
              </w:rPr>
              <w:t>1,000</w:t>
            </w:r>
          </w:p>
        </w:tc>
        <w:tc>
          <w:tcPr>
            <w:tcW w:type="dxa" w:w="1440"/>
          </w:tcPr>
          <w:p>
            <w:r>
              <w:rPr>
                <w:rFonts w:ascii="Calibri" w:hAnsi="Calibri"/>
                <w:sz w:val="22"/>
              </w:rPr>
              <w:t>May 11, 2026</w:t>
            </w:r>
          </w:p>
        </w:tc>
        <w:tc>
          <w:tcPr>
            <w:tcW w:type="dxa" w:w="1440"/>
          </w:tcPr>
          <w:p>
            <w:r>
              <w:rPr>
                <w:rFonts w:ascii="Calibri" w:hAnsi="Calibri"/>
                <w:sz w:val="22"/>
              </w:rPr>
              <w:t>Follow-on sale; CFO retains 32,804 shares</w:t>
            </w:r>
          </w:p>
        </w:tc>
      </w:tr>
      <w:tr>
        <w:tc>
          <w:tcPr>
            <w:tcW w:type="dxa" w:w="1440"/>
          </w:tcPr>
          <w:p>
            <w:r>
              <w:rPr>
                <w:rFonts w:ascii="Calibri" w:hAnsi="Calibri"/>
                <w:sz w:val="22"/>
              </w:rPr>
              <w:t>Shaeff, Julie</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1,123</w:t>
            </w:r>
          </w:p>
        </w:tc>
        <w:tc>
          <w:tcPr>
            <w:tcW w:type="dxa" w:w="1440"/>
          </w:tcPr>
          <w:p>
            <w:r>
              <w:rPr>
                <w:rFonts w:ascii="Calibri" w:hAnsi="Calibri"/>
                <w:sz w:val="22"/>
              </w:rPr>
              <w:t>May 11, 2026</w:t>
            </w:r>
          </w:p>
        </w:tc>
        <w:tc>
          <w:tcPr>
            <w:tcW w:type="dxa" w:w="1440"/>
          </w:tcPr>
          <w:p>
            <w:r>
              <w:rPr>
                <w:rFonts w:ascii="Calibri" w:hAnsi="Calibri"/>
                <w:sz w:val="22"/>
              </w:rPr>
              <w:t>Discretionary sale; retains 12,624 shares</w:t>
            </w:r>
          </w:p>
        </w:tc>
      </w:tr>
      <w:tr>
        <w:tc>
          <w:tcPr>
            <w:tcW w:type="dxa" w:w="1440"/>
          </w:tcPr>
          <w:p>
            <w:r>
              <w:rPr>
                <w:rFonts w:ascii="Calibri" w:hAnsi="Calibri"/>
                <w:sz w:val="22"/>
              </w:rPr>
              <w:t>Myers, Franklin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4,500</w:t>
            </w:r>
          </w:p>
        </w:tc>
        <w:tc>
          <w:tcPr>
            <w:tcW w:type="dxa" w:w="1440"/>
          </w:tcPr>
          <w:p>
            <w:r>
              <w:rPr>
                <w:rFonts w:ascii="Calibri" w:hAnsi="Calibri"/>
                <w:sz w:val="22"/>
              </w:rPr>
              <w:t>May 7, 2026</w:t>
            </w:r>
          </w:p>
        </w:tc>
        <w:tc>
          <w:tcPr>
            <w:tcW w:type="dxa" w:w="1440"/>
          </w:tcPr>
          <w:p>
            <w:r>
              <w:rPr>
                <w:rFonts w:ascii="Calibri" w:hAnsi="Calibri"/>
                <w:sz w:val="22"/>
              </w:rPr>
              <w:t>Discretionary sale; retains 68,983 shares (large holder)</w:t>
            </w:r>
          </w:p>
        </w:tc>
      </w:tr>
      <w:tr>
        <w:tc>
          <w:tcPr>
            <w:tcW w:type="dxa" w:w="1440"/>
          </w:tcPr>
          <w:p>
            <w:r>
              <w:rPr>
                <w:rFonts w:ascii="Calibri" w:hAnsi="Calibri"/>
                <w:sz w:val="22"/>
              </w:rPr>
              <w:t>Myers, Franklin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6,700</w:t>
            </w:r>
          </w:p>
        </w:tc>
        <w:tc>
          <w:tcPr>
            <w:tcW w:type="dxa" w:w="1440"/>
          </w:tcPr>
          <w:p>
            <w:r>
              <w:rPr>
                <w:rFonts w:ascii="Calibri" w:hAnsi="Calibri"/>
                <w:sz w:val="22"/>
              </w:rPr>
              <w:t>Jun 24, 2026</w:t>
            </w:r>
          </w:p>
        </w:tc>
        <w:tc>
          <w:tcPr>
            <w:tcW w:type="dxa" w:w="1440"/>
          </w:tcPr>
          <w:p>
            <w:r>
              <w:rPr>
                <w:rFonts w:ascii="Calibri" w:hAnsi="Calibri"/>
                <w:sz w:val="22"/>
              </w:rPr>
              <w:t>Second sale in the period; retains 62,115 shares</w:t>
            </w:r>
          </w:p>
        </w:tc>
      </w:tr>
      <w:tr>
        <w:tc>
          <w:tcPr>
            <w:tcW w:type="dxa" w:w="1440"/>
          </w:tcPr>
          <w:p>
            <w:r>
              <w:rPr>
                <w:rFonts w:ascii="Calibri" w:hAnsi="Calibri"/>
                <w:sz w:val="22"/>
              </w:rPr>
              <w:t>Mercado, Pablo G.</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500</w:t>
            </w:r>
          </w:p>
        </w:tc>
        <w:tc>
          <w:tcPr>
            <w:tcW w:type="dxa" w:w="1440"/>
          </w:tcPr>
          <w:p>
            <w:r>
              <w:rPr>
                <w:rFonts w:ascii="Calibri" w:hAnsi="Calibri"/>
                <w:sz w:val="22"/>
              </w:rPr>
              <w:t>Apr 30, 2026</w:t>
            </w:r>
          </w:p>
        </w:tc>
        <w:tc>
          <w:tcPr>
            <w:tcW w:type="dxa" w:w="1440"/>
          </w:tcPr>
          <w:p>
            <w:r>
              <w:rPr>
                <w:rFonts w:ascii="Calibri" w:hAnsi="Calibri"/>
                <w:sz w:val="22"/>
              </w:rPr>
              <w:t>Small discretionary sale; retains 3,000 shares</w:t>
            </w:r>
          </w:p>
        </w:tc>
      </w:tr>
      <w:tr>
        <w:tc>
          <w:tcPr>
            <w:tcW w:type="dxa" w:w="1440"/>
          </w:tcPr>
          <w:p>
            <w:r>
              <w:rPr>
                <w:rFonts w:ascii="Calibri" w:hAnsi="Calibri"/>
                <w:sz w:val="22"/>
              </w:rPr>
              <w:t>Sandbrook, William J.</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1,500</w:t>
            </w:r>
          </w:p>
        </w:tc>
        <w:tc>
          <w:tcPr>
            <w:tcW w:type="dxa" w:w="1440"/>
          </w:tcPr>
          <w:p>
            <w:r>
              <w:rPr>
                <w:rFonts w:ascii="Calibri" w:hAnsi="Calibri"/>
                <w:sz w:val="22"/>
              </w:rPr>
              <w:t>Apr 29, 2026</w:t>
            </w:r>
          </w:p>
        </w:tc>
        <w:tc>
          <w:tcPr>
            <w:tcW w:type="dxa" w:w="1440"/>
          </w:tcPr>
          <w:p>
            <w:r>
              <w:rPr>
                <w:rFonts w:ascii="Calibri" w:hAnsi="Calibri"/>
                <w:sz w:val="22"/>
              </w:rPr>
              <w:t>Discretionary sale; retains 7,666 shares</w:t>
            </w:r>
          </w:p>
        </w:tc>
      </w:tr>
      <w:tr>
        <w:tc>
          <w:tcPr>
            <w:tcW w:type="dxa" w:w="1440"/>
          </w:tcPr>
          <w:p>
            <w:r>
              <w:rPr>
                <w:rFonts w:ascii="Calibri" w:hAnsi="Calibri"/>
                <w:sz w:val="22"/>
              </w:rPr>
              <w:t>Hardy, Rhoman J.</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342</w:t>
            </w:r>
          </w:p>
        </w:tc>
        <w:tc>
          <w:tcPr>
            <w:tcW w:type="dxa" w:w="1440"/>
          </w:tcPr>
          <w:p>
            <w:r>
              <w:rPr>
                <w:rFonts w:ascii="Calibri" w:hAnsi="Calibri"/>
                <w:sz w:val="22"/>
              </w:rPr>
              <w:t>May 27, 2026</w:t>
            </w:r>
          </w:p>
        </w:tc>
        <w:tc>
          <w:tcPr>
            <w:tcW w:type="dxa" w:w="1440"/>
          </w:tcPr>
          <w:p>
            <w:r>
              <w:rPr>
                <w:rFonts w:ascii="Calibri" w:hAnsi="Calibri"/>
                <w:sz w:val="22"/>
              </w:rPr>
              <w:t>Small discretionary sale; retains 1,890 shares</w:t>
            </w:r>
          </w:p>
        </w:tc>
      </w:tr>
      <w:tr>
        <w:tc>
          <w:tcPr>
            <w:tcW w:type="dxa" w:w="1440"/>
          </w:tcPr>
          <w:p>
            <w:r>
              <w:rPr>
                <w:rFonts w:ascii="Calibri" w:hAnsi="Calibri"/>
                <w:sz w:val="22"/>
              </w:rPr>
              <w:t>Multiple Directors (8 persons)</w:t>
            </w:r>
          </w:p>
        </w:tc>
        <w:tc>
          <w:tcPr>
            <w:tcW w:type="dxa" w:w="1440"/>
          </w:tcPr>
          <w:p>
            <w:r>
              <w:rPr>
                <w:rFonts w:ascii="Calibri" w:hAnsi="Calibri"/>
                <w:sz w:val="22"/>
              </w:rPr>
              <w:t>Board of Directors</w:t>
            </w:r>
          </w:p>
        </w:tc>
        <w:tc>
          <w:tcPr>
            <w:tcW w:type="dxa" w:w="1440"/>
          </w:tcPr>
          <w:p>
            <w:r>
              <w:rPr>
                <w:rFonts w:ascii="Calibri" w:hAnsi="Calibri"/>
                <w:sz w:val="22"/>
              </w:rPr>
              <w:t>Award (Grant)</w:t>
            </w:r>
          </w:p>
        </w:tc>
        <w:tc>
          <w:tcPr>
            <w:tcW w:type="dxa" w:w="1440"/>
          </w:tcPr>
          <w:p>
            <w:r>
              <w:rPr>
                <w:rFonts w:ascii="Calibri" w:hAnsi="Calibri"/>
                <w:sz w:val="22"/>
              </w:rPr>
              <w:t>105 each</w:t>
            </w:r>
          </w:p>
        </w:tc>
        <w:tc>
          <w:tcPr>
            <w:tcW w:type="dxa" w:w="1440"/>
          </w:tcPr>
          <w:p>
            <w:r>
              <w:rPr>
                <w:rFonts w:ascii="Calibri" w:hAnsi="Calibri"/>
                <w:sz w:val="22"/>
              </w:rPr>
              <w:t>May 18, 2026</w:t>
            </w:r>
          </w:p>
        </w:tc>
        <w:tc>
          <w:tcPr>
            <w:tcW w:type="dxa" w:w="1440"/>
          </w:tcPr>
          <w:p>
            <w:r>
              <w:rPr>
                <w:rFonts w:ascii="Calibri" w:hAnsi="Calibri"/>
                <w:sz w:val="22"/>
              </w:rPr>
              <w:t>Routine annual director equity compensation grants; not open-market purchases</w:t>
            </w:r>
          </w:p>
        </w:tc>
      </w:tr>
    </w:tbl>
    <w:p>
      <w:r>
        <w:rPr>
          <w:rFonts w:ascii="Calibri" w:hAnsi="Calibri"/>
          <w:i/>
          <w:color w:val="525866"/>
          <w:sz w:val="22"/>
        </w:rPr>
        <w:t>Source: Insider Transaction Data (SEC Form 4 filings). Open-market transactions only (Form 4 codes P/S). Director grants (code A) on May 18 are routine annual equity compensation and excluded from the directional read.</w:t>
      </w:r>
    </w:p>
    <w:p>
      <w:r>
        <w:rPr>
          <w:rFonts w:ascii="Calibri" w:hAnsi="Calibri"/>
          <w:color w:val="525866"/>
          <w:sz w:val="22"/>
        </w:rPr>
        <w:t xml:space="preserve">The insider selling pattern — CEO, CFO, CAO, and multiple directors all selling within weeks of the Q1 beat — is notable in aggregate but not alarming in context. </w:t>
      </w:r>
      <w:r>
        <w:rPr>
          <w:rFonts w:ascii="Calibri" w:hAnsi="Calibri"/>
          <w:b/>
          <w:color w:val="525866"/>
          <w:sz w:val="22"/>
        </w:rPr>
        <w:t>All sales appear discretionary (no 10b5-1 plan flags in the filings)</w:t>
      </w:r>
      <w:r>
        <w:rPr>
          <w:rFonts w:ascii="Calibri" w:hAnsi="Calibri"/>
          <w:color w:val="525866"/>
          <w:sz w:val="22"/>
        </w:rPr>
        <w:t xml:space="preserve"> and occurred at prices ranging from approximately $1,800–$2,000+, well above the stock’s current level of ~$1,791. The CEO’s 11,113-share sale is the largest single transaction and warrants monitoring, but Brian Lane retains 161,089 shares (post-transaction), representing a very substantial economic stake. No open-market buys were filed in the period. The absence of buys at current prices is a mild negative signal but is not unusual for a stock trading at a premium multiple.</w:t>
      </w:r>
    </w:p>
    <w:p>
      <w:r>
        <w:rPr>
          <w:rFonts w:ascii="Calibri" w:hAnsi="Calibri"/>
          <w:i/>
          <w:color w:val="525866"/>
          <w:sz w:val="22"/>
        </w:rPr>
        <w:t>— End of Document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