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Comfort Systems USA (FIX)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Comfort Systems USA, Inc.</w:t>
            </w:r>
          </w:p>
        </w:tc>
      </w:tr>
      <w:tr>
        <w:tc>
          <w:tcPr>
            <w:tcW w:type="dxa" w:w="4320"/>
          </w:tcPr>
          <w:p>
            <w:r>
              <w:rPr>
                <w:rFonts w:ascii="Calibri" w:hAnsi="Calibri"/>
                <w:b/>
                <w:sz w:val="22"/>
              </w:rPr>
              <w:t>Ticker</w:t>
            </w:r>
          </w:p>
        </w:tc>
        <w:tc>
          <w:tcPr>
            <w:tcW w:type="dxa" w:w="4320"/>
          </w:tcPr>
          <w:p>
            <w:r>
              <w:rPr>
                <w:rFonts w:ascii="Calibri" w:hAnsi="Calibri"/>
                <w:sz w:val="22"/>
              </w:rPr>
              <w:t>FIX (NYSE)</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Earnings Date</w:t>
            </w:r>
          </w:p>
        </w:tc>
        <w:tc>
          <w:tcPr>
            <w:tcW w:type="dxa" w:w="4320"/>
          </w:tcPr>
          <w:p>
            <w:r>
              <w:rPr>
                <w:rFonts w:ascii="Calibri" w:hAnsi="Calibri"/>
                <w:sz w:val="22"/>
              </w:rPr>
              <w:t>July 24, 2026 — Earnings Call 11:00 AM ET</w:t>
            </w:r>
          </w:p>
        </w:tc>
      </w:tr>
      <w:tr>
        <w:tc>
          <w:tcPr>
            <w:tcW w:type="dxa" w:w="4320"/>
          </w:tcPr>
          <w:p>
            <w:r>
              <w:rPr>
                <w:rFonts w:ascii="Calibri" w:hAnsi="Calibri"/>
                <w:b/>
                <w:sz w:val="22"/>
              </w:rPr>
              <w:t>Prepared</w:t>
            </w:r>
          </w:p>
        </w:tc>
        <w:tc>
          <w:tcPr>
            <w:tcW w:type="dxa" w:w="4320"/>
          </w:tcPr>
          <w:p>
            <w:r>
              <w:rPr>
                <w:rFonts w:ascii="Calibri" w:hAnsi="Calibri"/>
                <w:sz w:val="22"/>
              </w:rPr>
              <w:t>July 22, 2026</w:t>
            </w:r>
          </w:p>
        </w:tc>
      </w:tr>
      <w:tr>
        <w:tc>
          <w:tcPr>
            <w:tcW w:type="dxa" w:w="4320"/>
          </w:tcPr>
          <w:p>
            <w:r>
              <w:rPr>
                <w:rFonts w:ascii="Calibri" w:hAnsi="Calibri"/>
                <w:b/>
                <w:sz w:val="22"/>
              </w:rPr>
              <w:t>Last Earnings</w:t>
            </w:r>
          </w:p>
        </w:tc>
        <w:tc>
          <w:tcPr>
            <w:tcW w:type="dxa" w:w="4320"/>
          </w:tcPr>
          <w:p>
            <w:r>
              <w:rPr>
                <w:rFonts w:ascii="Calibri" w:hAnsi="Calibri"/>
                <w:sz w:val="22"/>
              </w:rPr>
              <w:t>April 24, 2026 (Q1 2026)</w:t>
            </w:r>
          </w:p>
        </w:tc>
      </w:tr>
    </w:tbl>
    <w:p>
      <w:r>
        <w:br w:type="page"/>
      </w:r>
    </w:p>
    <w:p>
      <w:pPr>
        <w:pStyle w:val="Heading1"/>
        <w:pBdr>
          <w:bottom w:val="single" w:sz="4" w:space="1" w:color="FB9120"/>
        </w:pBdr>
      </w:pPr>
      <w:r>
        <w:rPr>
          <w:rFonts w:ascii="Calibri" w:hAnsi="Calibri"/>
          <w:b/>
          <w:color w:val="3B4259"/>
          <w:sz w:val="40"/>
        </w:rPr>
        <w:t>1. Earnings Preview</w:t>
      </w:r>
    </w:p>
    <w:p>
      <w:r>
        <w:rPr>
          <w:rFonts w:ascii="Calibri" w:hAnsi="Calibri"/>
          <w:b/>
          <w:color w:val="525866"/>
          <w:sz w:val="22"/>
        </w:rPr>
        <w:t xml:space="preserve">Key Takeaway: </w:t>
      </w:r>
      <w:r>
        <w:rPr>
          <w:rFonts w:ascii="Calibri" w:hAnsi="Calibri"/>
          <w:color w:val="525866"/>
          <w:sz w:val="22"/>
        </w:rPr>
        <w:t>The setup favors a beat — consensus is a manageable bar relative to management’s own mid-to-high-twenties same-store revenue growth guidance, and the Q1 2026 print demonstrated FIX’s ability to dramatically exceed expectations; the single biggest swing factor is whether gross margins can hold near the ~25% adjusted level after stripping out Q1’s $43M non-recurring benefit.</w:t>
      </w:r>
    </w:p>
    <w:p>
      <w:r>
        <w:rPr>
          <w:rFonts w:ascii="Calibri" w:hAnsi="Calibri"/>
          <w:color w:val="525866"/>
          <w:sz w:val="22"/>
        </w:rPr>
        <w:t>Heading into Q2 2026, the bar for Comfort Systems USA looks achievable but not trivial. Consensus revenue of $2.97B implies ~37% year-over-year growth, consistent with management’s full-year same-store guidance of mid-to-high-twenties percent growth and the company’s own framing that each of the next three quarters should average “well above 20%” organically. Management’s tone on the April 24 call was emphatic — record $12.5B backlog, technology sector at 56% of revenue, and a supply-constrained (not demand-constrained) market — and nothing since has altered that posture; the June 22 COO appointment of Craig Sasser signals operational continuity, not disruption. Estimate revisions have been remarkably stable since the Q1 print, with the 2Q 2026 consensus essentially flat at ~$2.97B and operating EPS at ~$10.60, suggesting the Street has not yet fully priced in the possibility of another outsized beat. The stock has pulled back roughly 5% from its post-Q1 highs and trades at ~37x NTM P/E, a premium that reflects the AI/data center supercycle thesis but leaves room for upside if margins surprise again. The key wildcard is gross margin: Q1’s 26.3% included ~$43M in non-recurring favorable change orders; the adjusted ~25.2% is the true run-rate baseline, and any deviation — up or down — will be the dominant driver of the stock reaction on print day.</w:t>
      </w:r>
    </w:p>
    <w:p>
      <w:r>
        <w:br w:type="page"/>
      </w:r>
    </w:p>
    <w:p>
      <w:pPr>
        <w:pStyle w:val="Heading1"/>
        <w:pBdr>
          <w:bottom w:val="single" w:sz="4" w:space="1" w:color="FB9120"/>
        </w:pBdr>
      </w:pPr>
      <w:r>
        <w:rPr>
          <w:rFonts w:ascii="Calibri" w:hAnsi="Calibri"/>
          <w:b/>
          <w:color w:val="3B4259"/>
          <w:sz w:val="40"/>
        </w:rPr>
        <w:t>2. KPIs &amp; Consensus Expectations</w:t>
      </w:r>
    </w:p>
    <w:p>
      <w:r>
        <w:rPr>
          <w:rFonts w:ascii="Calibri" w:hAnsi="Calibri"/>
          <w:b/>
          <w:color w:val="525866"/>
          <w:sz w:val="22"/>
        </w:rPr>
        <w:t xml:space="preserve">Key Takeaway: </w:t>
      </w:r>
      <w:r>
        <w:rPr>
          <w:rFonts w:ascii="Calibri" w:hAnsi="Calibri"/>
          <w:color w:val="525866"/>
          <w:sz w:val="22"/>
        </w:rPr>
        <w:t>Consensus sets a high but achievable bar on revenue (~$2.97B, +37% YoY); gross margin is the bigger swing factor — the Street models ~25.2%, which is the adjusted Q1 run-rate, leaving little cushion if project mix or change-order timing disappoints.</w:t>
      </w:r>
    </w:p>
    <w:p>
      <w:pPr>
        <w:pStyle w:val="Heading2"/>
      </w:pPr>
      <w:r>
        <w:rPr>
          <w:rFonts w:ascii="Calibri" w:hAnsi="Calibri"/>
          <w:b/>
          <w:color w:val="3B4259"/>
          <w:sz w:val="28"/>
        </w:rPr>
        <w:t>Table 1 — Q2 2026 Snapshot: All Key KPIs</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Guidance (FY 2026)</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Revenue</w:t>
            </w:r>
          </w:p>
        </w:tc>
        <w:tc>
          <w:tcPr>
            <w:tcW w:type="dxa" w:w="1234"/>
          </w:tcPr>
          <w:p>
            <w:r>
              <w:rPr>
                <w:rFonts w:ascii="Calibri" w:hAnsi="Calibri"/>
                <w:sz w:val="22"/>
              </w:rPr>
              <w:t>$2,865M</w:t>
            </w:r>
          </w:p>
        </w:tc>
        <w:tc>
          <w:tcPr>
            <w:tcW w:type="dxa" w:w="1234"/>
          </w:tcPr>
          <w:p>
            <w:r>
              <w:rPr>
                <w:rFonts w:ascii="Calibri" w:hAnsi="Calibri"/>
                <w:sz w:val="22"/>
              </w:rPr>
              <w:t>$2,173M</w:t>
            </w:r>
          </w:p>
        </w:tc>
        <w:tc>
          <w:tcPr>
            <w:tcW w:type="dxa" w:w="1234"/>
          </w:tcPr>
          <w:p>
            <w:r>
              <w:rPr>
                <w:rFonts w:ascii="Calibri" w:hAnsi="Calibri"/>
                <w:sz w:val="22"/>
              </w:rPr>
              <w:t>$2,971M</w:t>
            </w:r>
          </w:p>
        </w:tc>
        <w:tc>
          <w:tcPr>
            <w:tcW w:type="dxa" w:w="1234"/>
          </w:tcPr>
          <w:p>
            <w:r>
              <w:rPr>
                <w:rFonts w:ascii="Calibri" w:hAnsi="Calibri"/>
                <w:b/>
                <w:color w:val="30A46C"/>
                <w:sz w:val="22"/>
              </w:rPr>
              <w:t>+36.7%</w:t>
            </w:r>
          </w:p>
        </w:tc>
        <w:tc>
          <w:tcPr>
            <w:tcW w:type="dxa" w:w="1234"/>
          </w:tcPr>
          <w:p>
            <w:r>
              <w:rPr>
                <w:rFonts w:ascii="Calibri" w:hAnsi="Calibri"/>
                <w:sz w:val="22"/>
              </w:rPr>
              <w:t>Mid-to-high 20s% same-store growth vs. FY2025</w:t>
            </w:r>
          </w:p>
        </w:tc>
        <w:tc>
          <w:tcPr>
            <w:tcW w:type="dxa" w:w="1234"/>
          </w:tcPr>
          <w:p>
            <w:r>
              <w:rPr>
                <w:rFonts w:ascii="Calibri" w:hAnsi="Calibri"/>
                <w:sz w:val="22"/>
              </w:rPr>
              <w:t>Consistent with guidance</w:t>
            </w:r>
          </w:p>
        </w:tc>
      </w:tr>
      <w:tr>
        <w:tc>
          <w:tcPr>
            <w:tcW w:type="dxa" w:w="1234"/>
          </w:tcPr>
          <w:p>
            <w:r>
              <w:rPr>
                <w:rFonts w:ascii="Calibri" w:hAnsi="Calibri"/>
                <w:sz w:val="22"/>
              </w:rPr>
              <w:t>Operating EPS (Diluted)</w:t>
            </w:r>
          </w:p>
        </w:tc>
        <w:tc>
          <w:tcPr>
            <w:tcW w:type="dxa" w:w="1234"/>
          </w:tcPr>
          <w:p>
            <w:r>
              <w:rPr>
                <w:rFonts w:ascii="Calibri" w:hAnsi="Calibri"/>
                <w:sz w:val="22"/>
              </w:rPr>
              <w:t>$10.58</w:t>
            </w:r>
          </w:p>
        </w:tc>
        <w:tc>
          <w:tcPr>
            <w:tcW w:type="dxa" w:w="1234"/>
          </w:tcPr>
          <w:p>
            <w:r>
              <w:rPr>
                <w:rFonts w:ascii="Calibri" w:hAnsi="Calibri"/>
                <w:sz w:val="22"/>
              </w:rPr>
              <w:t>$6.53</w:t>
            </w:r>
          </w:p>
        </w:tc>
        <w:tc>
          <w:tcPr>
            <w:tcW w:type="dxa" w:w="1234"/>
          </w:tcPr>
          <w:p>
            <w:r>
              <w:rPr>
                <w:rFonts w:ascii="Calibri" w:hAnsi="Calibri"/>
                <w:sz w:val="22"/>
              </w:rPr>
              <w:t>$10.60</w:t>
            </w:r>
          </w:p>
        </w:tc>
        <w:tc>
          <w:tcPr>
            <w:tcW w:type="dxa" w:w="1234"/>
          </w:tcPr>
          <w:p>
            <w:r>
              <w:rPr>
                <w:rFonts w:ascii="Calibri" w:hAnsi="Calibri"/>
                <w:b/>
                <w:color w:val="30A46C"/>
                <w:sz w:val="22"/>
              </w:rPr>
              <w:t>+62.3%</w:t>
            </w:r>
          </w:p>
        </w:tc>
        <w:tc>
          <w:tcPr>
            <w:tcW w:type="dxa" w:w="1234"/>
          </w:tcPr>
          <w:p>
            <w:r>
              <w:rPr>
                <w:rFonts w:ascii="Calibri" w:hAnsi="Calibri"/>
                <w:sz w:val="22"/>
              </w:rPr>
              <w:t>No explicit quarterly EPS guide</w:t>
            </w:r>
          </w:p>
        </w:tc>
        <w:tc>
          <w:tcPr>
            <w:tcW w:type="dxa" w:w="1234"/>
          </w:tcPr>
          <w:p>
            <w:r>
              <w:rPr>
                <w:rFonts w:ascii="Calibri" w:hAnsi="Calibri"/>
                <w:sz w:val="22"/>
              </w:rPr>
              <w:t>N/A — no quarterly guide</w:t>
            </w:r>
          </w:p>
        </w:tc>
      </w:tr>
      <w:tr>
        <w:tc>
          <w:tcPr>
            <w:tcW w:type="dxa" w:w="1234"/>
          </w:tcPr>
          <w:p>
            <w:r>
              <w:rPr>
                <w:rFonts w:ascii="Calibri" w:hAnsi="Calibri"/>
                <w:sz w:val="22"/>
              </w:rPr>
              <w:t>Gross Margin (%)</w:t>
            </w:r>
          </w:p>
        </w:tc>
        <w:tc>
          <w:tcPr>
            <w:tcW w:type="dxa" w:w="1234"/>
          </w:tcPr>
          <w:p>
            <w:r>
              <w:rPr>
                <w:rFonts w:ascii="Calibri" w:hAnsi="Calibri"/>
                <w:sz w:val="22"/>
              </w:rPr>
              <w:t>26.3% (adj. ~25.2%)</w:t>
            </w:r>
          </w:p>
        </w:tc>
        <w:tc>
          <w:tcPr>
            <w:tcW w:type="dxa" w:w="1234"/>
          </w:tcPr>
          <w:p>
            <w:r>
              <w:rPr>
                <w:rFonts w:ascii="Calibri" w:hAnsi="Calibri"/>
                <w:sz w:val="22"/>
              </w:rPr>
              <w:t>23.5%</w:t>
            </w:r>
          </w:p>
        </w:tc>
        <w:tc>
          <w:tcPr>
            <w:tcW w:type="dxa" w:w="1234"/>
          </w:tcPr>
          <w:p>
            <w:r>
              <w:rPr>
                <w:rFonts w:ascii="Calibri" w:hAnsi="Calibri"/>
                <w:sz w:val="22"/>
              </w:rPr>
              <w:t>~25.2%</w:t>
            </w:r>
          </w:p>
        </w:tc>
        <w:tc>
          <w:tcPr>
            <w:tcW w:type="dxa" w:w="1234"/>
          </w:tcPr>
          <w:p>
            <w:r>
              <w:rPr>
                <w:rFonts w:ascii="Calibri" w:hAnsi="Calibri"/>
                <w:sz w:val="22"/>
              </w:rPr>
              <w:t>+170 bps</w:t>
            </w:r>
          </w:p>
        </w:tc>
        <w:tc>
          <w:tcPr>
            <w:tcW w:type="dxa" w:w="1234"/>
          </w:tcPr>
          <w:p>
            <w:r>
              <w:rPr>
                <w:rFonts w:ascii="Calibri" w:hAnsi="Calibri"/>
                <w:sz w:val="22"/>
              </w:rPr>
              <w:t>Continue in “strong ranges averaged over past several quarters”</w:t>
            </w:r>
          </w:p>
        </w:tc>
        <w:tc>
          <w:tcPr>
            <w:tcW w:type="dxa" w:w="1234"/>
          </w:tcPr>
          <w:p>
            <w:r>
              <w:rPr>
                <w:rFonts w:ascii="Calibri" w:hAnsi="Calibri"/>
                <w:sz w:val="22"/>
              </w:rPr>
              <w:t>In line with guidance</w:t>
            </w:r>
          </w:p>
        </w:tc>
      </w:tr>
      <w:tr>
        <w:tc>
          <w:tcPr>
            <w:tcW w:type="dxa" w:w="1234"/>
          </w:tcPr>
          <w:p>
            <w:r>
              <w:rPr>
                <w:rFonts w:ascii="Calibri" w:hAnsi="Calibri"/>
                <w:sz w:val="22"/>
              </w:rPr>
              <w:t>Backlog</w:t>
            </w:r>
          </w:p>
        </w:tc>
        <w:tc>
          <w:tcPr>
            <w:tcW w:type="dxa" w:w="1234"/>
          </w:tcPr>
          <w:p>
            <w:r>
              <w:rPr>
                <w:rFonts w:ascii="Calibri" w:hAnsi="Calibri"/>
                <w:sz w:val="22"/>
              </w:rPr>
              <w:t>$12,455M</w:t>
            </w:r>
          </w:p>
        </w:tc>
        <w:tc>
          <w:tcPr>
            <w:tcW w:type="dxa" w:w="1234"/>
          </w:tcPr>
          <w:p>
            <w:r>
              <w:rPr>
                <w:rFonts w:ascii="Calibri" w:hAnsi="Calibri"/>
                <w:sz w:val="22"/>
              </w:rPr>
              <w:t>$8,124M</w:t>
            </w:r>
          </w:p>
        </w:tc>
        <w:tc>
          <w:tcPr>
            <w:tcW w:type="dxa" w:w="1234"/>
          </w:tcPr>
          <w:p>
            <w:r>
              <w:rPr>
                <w:rFonts w:ascii="Calibri" w:hAnsi="Calibri"/>
                <w:sz w:val="22"/>
              </w:rPr>
              <w:t>$12,653M</w:t>
            </w:r>
          </w:p>
        </w:tc>
        <w:tc>
          <w:tcPr>
            <w:tcW w:type="dxa" w:w="1234"/>
          </w:tcPr>
          <w:p>
            <w:r>
              <w:rPr>
                <w:rFonts w:ascii="Calibri" w:hAnsi="Calibri"/>
                <w:b/>
                <w:color w:val="30A46C"/>
                <w:sz w:val="22"/>
              </w:rPr>
              <w:t>+55.8%</w:t>
            </w:r>
          </w:p>
        </w:tc>
        <w:tc>
          <w:tcPr>
            <w:tcW w:type="dxa" w:w="1234"/>
          </w:tcPr>
          <w:p>
            <w:r>
              <w:rPr>
                <w:rFonts w:ascii="Calibri" w:hAnsi="Calibri"/>
                <w:sz w:val="22"/>
              </w:rPr>
              <w:t>No explicit backlog guide; record levels expected to persist</w:t>
            </w:r>
          </w:p>
        </w:tc>
        <w:tc>
          <w:tcPr>
            <w:tcW w:type="dxa" w:w="1234"/>
          </w:tcPr>
          <w:p>
            <w:r>
              <w:rPr>
                <w:rFonts w:ascii="Calibri" w:hAnsi="Calibri"/>
                <w:sz w:val="22"/>
              </w:rPr>
              <w:t>N/A — no explicit guide</w:t>
            </w:r>
          </w:p>
        </w:tc>
      </w:tr>
      <w:tr>
        <w:tc>
          <w:tcPr>
            <w:tcW w:type="dxa" w:w="1234"/>
          </w:tcPr>
          <w:p>
            <w:r>
              <w:rPr>
                <w:rFonts w:ascii="Calibri" w:hAnsi="Calibri"/>
                <w:sz w:val="22"/>
              </w:rPr>
              <w:t>Free Cash Flow</w:t>
            </w:r>
          </w:p>
        </w:tc>
        <w:tc>
          <w:tcPr>
            <w:tcW w:type="dxa" w:w="1234"/>
          </w:tcPr>
          <w:p>
            <w:r>
              <w:rPr>
                <w:rFonts w:ascii="Calibri" w:hAnsi="Calibri"/>
                <w:sz w:val="22"/>
              </w:rPr>
              <w:t>$242M</w:t>
            </w:r>
          </w:p>
        </w:tc>
        <w:tc>
          <w:tcPr>
            <w:tcW w:type="dxa" w:w="1234"/>
          </w:tcPr>
          <w:p>
            <w:r>
              <w:rPr>
                <w:rFonts w:ascii="Calibri" w:hAnsi="Calibri"/>
                <w:sz w:val="22"/>
              </w:rPr>
              <w:t>$222M</w:t>
            </w:r>
          </w:p>
        </w:tc>
        <w:tc>
          <w:tcPr>
            <w:tcW w:type="dxa" w:w="1234"/>
          </w:tcPr>
          <w:p>
            <w:r>
              <w:rPr>
                <w:rFonts w:ascii="Calibri" w:hAnsi="Calibri"/>
                <w:sz w:val="22"/>
              </w:rPr>
              <w:t>$223M</w:t>
            </w:r>
          </w:p>
        </w:tc>
        <w:tc>
          <w:tcPr>
            <w:tcW w:type="dxa" w:w="1234"/>
          </w:tcPr>
          <w:p>
            <w:r>
              <w:rPr>
                <w:rFonts w:ascii="Calibri" w:hAnsi="Calibri"/>
                <w:sz w:val="22"/>
              </w:rPr>
              <w:t>+0.4%</w:t>
            </w:r>
          </w:p>
        </w:tc>
        <w:tc>
          <w:tcPr>
            <w:tcW w:type="dxa" w:w="1234"/>
          </w:tcPr>
          <w:p>
            <w:r>
              <w:rPr>
                <w:rFonts w:ascii="Calibri" w:hAnsi="Calibri"/>
                <w:sz w:val="22"/>
              </w:rPr>
              <w:t>FY CapEx ~5% of revenue; FCF conversion expected strong</w:t>
            </w:r>
          </w:p>
        </w:tc>
        <w:tc>
          <w:tcPr>
            <w:tcW w:type="dxa" w:w="1234"/>
          </w:tcPr>
          <w:p>
            <w:r>
              <w:rPr>
                <w:rFonts w:ascii="Calibri" w:hAnsi="Calibri"/>
                <w:sz w:val="22"/>
              </w:rPr>
              <w:t>N/A — no explicit guide</w:t>
            </w:r>
          </w:p>
        </w:tc>
      </w:tr>
    </w:tbl>
    <w:p>
      <w:r>
        <w:rPr>
          <w:rFonts w:ascii="Calibri" w:hAnsi="Calibri"/>
          <w:b/>
          <w:color w:val="525866"/>
          <w:sz w:val="22"/>
        </w:rPr>
        <w:t xml:space="preserve">Sources: </w:t>
      </w:r>
      <w:r>
        <w:rPr>
          <w:rFonts w:ascii="Calibri" w:hAnsi="Calibri"/>
          <w:color w:val="525866"/>
          <w:sz w:val="22"/>
        </w:rPr>
        <w:t>Visible Alpha Consensus and Actuals Data (Revenue, Operating EPS, Gross Margin, Backlog, FCF). Q1 2026 actuals and Q2 2025 actuals from Visible Alpha reported figures. Q2 2026 consensus as of July 22, 2026.</w:t>
      </w:r>
    </w:p>
    <w:p>
      <w:pPr>
        <w:pStyle w:val="Heading2"/>
      </w:pPr>
      <w:r>
        <w:rPr>
          <w:rFonts w:ascii="Calibri" w:hAnsi="Calibri"/>
          <w:b/>
          <w:color w:val="3B4259"/>
          <w:sz w:val="28"/>
        </w:rPr>
        <w:t>Table 2 — Beat/Miss History: Last 8 Quarters (Top 2 KPIs: Revenue &amp; Operating EPS)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Q1 2026</w:t>
            </w:r>
          </w:p>
        </w:tc>
        <w:tc>
          <w:tcPr>
            <w:tcW w:type="dxa" w:w="1440"/>
          </w:tcPr>
          <w:p>
            <w:r>
              <w:rPr>
                <w:rFonts w:ascii="Calibri" w:hAnsi="Calibri"/>
                <w:sz w:val="22"/>
              </w:rPr>
              <w:t>Revenue</w:t>
            </w:r>
          </w:p>
        </w:tc>
        <w:tc>
          <w:tcPr>
            <w:tcW w:type="dxa" w:w="1440"/>
          </w:tcPr>
          <w:p>
            <w:r>
              <w:rPr>
                <w:rFonts w:ascii="Calibri" w:hAnsi="Calibri"/>
                <w:sz w:val="22"/>
              </w:rPr>
              <w:t>$2,865M</w:t>
            </w:r>
          </w:p>
        </w:tc>
        <w:tc>
          <w:tcPr>
            <w:tcW w:type="dxa" w:w="1440"/>
          </w:tcPr>
          <w:p>
            <w:r>
              <w:rPr>
                <w:rFonts w:ascii="Calibri" w:hAnsi="Calibri"/>
                <w:sz w:val="22"/>
              </w:rPr>
              <w:t>$2,399M</w:t>
            </w:r>
          </w:p>
        </w:tc>
        <w:tc>
          <w:tcPr>
            <w:tcW w:type="dxa" w:w="1440"/>
          </w:tcPr>
          <w:p>
            <w:r>
              <w:rPr>
                <w:rFonts w:ascii="Calibri" w:hAnsi="Calibri"/>
                <w:b/>
                <w:color w:val="30A46C"/>
                <w:sz w:val="22"/>
              </w:rPr>
              <w:t>+19.4%</w:t>
            </w:r>
          </w:p>
        </w:tc>
        <w:tc>
          <w:tcPr>
            <w:tcW w:type="dxa" w:w="1440"/>
          </w:tcPr>
          <w:p>
            <w:r>
              <w:rPr>
                <w:rFonts w:ascii="Calibri" w:hAnsi="Calibri"/>
                <w:b/>
                <w:sz w:val="22"/>
              </w:rPr>
              <w:t>Beat</w:t>
            </w:r>
          </w:p>
        </w:tc>
      </w:tr>
      <w:tr>
        <w:tc>
          <w:tcPr>
            <w:tcW w:type="dxa" w:w="1440"/>
          </w:tcPr>
          <w:p>
            <w:r>
              <w:rPr>
                <w:rFonts w:ascii="Calibri" w:hAnsi="Calibri"/>
                <w:sz w:val="22"/>
              </w:rPr>
              <w:t>Q1 2026</w:t>
            </w:r>
          </w:p>
        </w:tc>
        <w:tc>
          <w:tcPr>
            <w:tcW w:type="dxa" w:w="1440"/>
          </w:tcPr>
          <w:p>
            <w:r>
              <w:rPr>
                <w:rFonts w:ascii="Calibri" w:hAnsi="Calibri"/>
                <w:sz w:val="22"/>
              </w:rPr>
              <w:t>Op. EPS</w:t>
            </w:r>
          </w:p>
        </w:tc>
        <w:tc>
          <w:tcPr>
            <w:tcW w:type="dxa" w:w="1440"/>
          </w:tcPr>
          <w:p>
            <w:r>
              <w:rPr>
                <w:rFonts w:ascii="Calibri" w:hAnsi="Calibri"/>
                <w:sz w:val="22"/>
              </w:rPr>
              <w:t>$10.58</w:t>
            </w:r>
          </w:p>
        </w:tc>
        <w:tc>
          <w:tcPr>
            <w:tcW w:type="dxa" w:w="1440"/>
          </w:tcPr>
          <w:p>
            <w:r>
              <w:rPr>
                <w:rFonts w:ascii="Calibri" w:hAnsi="Calibri"/>
                <w:sz w:val="22"/>
              </w:rPr>
              <w:t>$6.99</w:t>
            </w:r>
          </w:p>
        </w:tc>
        <w:tc>
          <w:tcPr>
            <w:tcW w:type="dxa" w:w="1440"/>
          </w:tcPr>
          <w:p>
            <w:r>
              <w:rPr>
                <w:rFonts w:ascii="Calibri" w:hAnsi="Calibri"/>
                <w:b/>
                <w:color w:val="30A46C"/>
                <w:sz w:val="22"/>
              </w:rPr>
              <w:t>+51.4%</w:t>
            </w:r>
          </w:p>
        </w:tc>
        <w:tc>
          <w:tcPr>
            <w:tcW w:type="dxa" w:w="1440"/>
          </w:tcPr>
          <w:p>
            <w:r>
              <w:rPr>
                <w:rFonts w:ascii="Calibri" w:hAnsi="Calibri"/>
                <w:b/>
                <w:sz w:val="22"/>
              </w:rPr>
              <w:t>Beat</w:t>
            </w:r>
          </w:p>
        </w:tc>
      </w:tr>
      <w:tr>
        <w:tc>
          <w:tcPr>
            <w:tcW w:type="dxa" w:w="1440"/>
          </w:tcPr>
          <w:p>
            <w:r>
              <w:rPr>
                <w:rFonts w:ascii="Calibri" w:hAnsi="Calibri"/>
                <w:sz w:val="22"/>
              </w:rPr>
              <w:t>Q4 2025</w:t>
            </w:r>
          </w:p>
        </w:tc>
        <w:tc>
          <w:tcPr>
            <w:tcW w:type="dxa" w:w="1440"/>
          </w:tcPr>
          <w:p>
            <w:r>
              <w:rPr>
                <w:rFonts w:ascii="Calibri" w:hAnsi="Calibri"/>
                <w:sz w:val="22"/>
              </w:rPr>
              <w:t>Revenue</w:t>
            </w:r>
          </w:p>
        </w:tc>
        <w:tc>
          <w:tcPr>
            <w:tcW w:type="dxa" w:w="1440"/>
          </w:tcPr>
          <w:p>
            <w:r>
              <w:rPr>
                <w:rFonts w:ascii="Calibri" w:hAnsi="Calibri"/>
                <w:sz w:val="22"/>
              </w:rPr>
              <w:t>$2,646M</w:t>
            </w:r>
          </w:p>
        </w:tc>
        <w:tc>
          <w:tcPr>
            <w:tcW w:type="dxa" w:w="1440"/>
          </w:tcPr>
          <w:p>
            <w:r>
              <w:rPr>
                <w:rFonts w:ascii="Calibri" w:hAnsi="Calibri"/>
                <w:sz w:val="22"/>
              </w:rPr>
              <w:t>$2,342M</w:t>
            </w:r>
          </w:p>
        </w:tc>
        <w:tc>
          <w:tcPr>
            <w:tcW w:type="dxa" w:w="1440"/>
          </w:tcPr>
          <w:p>
            <w:r>
              <w:rPr>
                <w:rFonts w:ascii="Calibri" w:hAnsi="Calibri"/>
                <w:b/>
                <w:color w:val="30A46C"/>
                <w:sz w:val="22"/>
              </w:rPr>
              <w:t>+13.0%</w:t>
            </w:r>
          </w:p>
        </w:tc>
        <w:tc>
          <w:tcPr>
            <w:tcW w:type="dxa" w:w="1440"/>
          </w:tcPr>
          <w:p>
            <w:r>
              <w:rPr>
                <w:rFonts w:ascii="Calibri" w:hAnsi="Calibri"/>
                <w:b/>
                <w:sz w:val="22"/>
              </w:rPr>
              <w:t>Beat</w:t>
            </w:r>
          </w:p>
        </w:tc>
      </w:tr>
      <w:tr>
        <w:tc>
          <w:tcPr>
            <w:tcW w:type="dxa" w:w="1440"/>
          </w:tcPr>
          <w:p>
            <w:r>
              <w:rPr>
                <w:rFonts w:ascii="Calibri" w:hAnsi="Calibri"/>
                <w:sz w:val="22"/>
              </w:rPr>
              <w:t>Q4 2025</w:t>
            </w:r>
          </w:p>
        </w:tc>
        <w:tc>
          <w:tcPr>
            <w:tcW w:type="dxa" w:w="1440"/>
          </w:tcPr>
          <w:p>
            <w:r>
              <w:rPr>
                <w:rFonts w:ascii="Calibri" w:hAnsi="Calibri"/>
                <w:sz w:val="22"/>
              </w:rPr>
              <w:t>Op. EPS</w:t>
            </w:r>
          </w:p>
        </w:tc>
        <w:tc>
          <w:tcPr>
            <w:tcW w:type="dxa" w:w="1440"/>
          </w:tcPr>
          <w:p>
            <w:r>
              <w:rPr>
                <w:rFonts w:ascii="Calibri" w:hAnsi="Calibri"/>
                <w:sz w:val="22"/>
              </w:rPr>
              <w:t>$9.37</w:t>
            </w:r>
          </w:p>
        </w:tc>
        <w:tc>
          <w:tcPr>
            <w:tcW w:type="dxa" w:w="1440"/>
          </w:tcPr>
          <w:p>
            <w:r>
              <w:rPr>
                <w:rFonts w:ascii="Calibri" w:hAnsi="Calibri"/>
                <w:sz w:val="22"/>
              </w:rPr>
              <w:t>$6.87</w:t>
            </w:r>
          </w:p>
        </w:tc>
        <w:tc>
          <w:tcPr>
            <w:tcW w:type="dxa" w:w="1440"/>
          </w:tcPr>
          <w:p>
            <w:r>
              <w:rPr>
                <w:rFonts w:ascii="Calibri" w:hAnsi="Calibri"/>
                <w:b/>
                <w:color w:val="30A46C"/>
                <w:sz w:val="22"/>
              </w:rPr>
              <w:t>+36.4%</w:t>
            </w:r>
          </w:p>
        </w:tc>
        <w:tc>
          <w:tcPr>
            <w:tcW w:type="dxa" w:w="1440"/>
          </w:tcPr>
          <w:p>
            <w:r>
              <w:rPr>
                <w:rFonts w:ascii="Calibri" w:hAnsi="Calibri"/>
                <w:b/>
                <w:sz w:val="22"/>
              </w:rPr>
              <w:t>Beat</w:t>
            </w:r>
          </w:p>
        </w:tc>
      </w:tr>
      <w:tr>
        <w:tc>
          <w:tcPr>
            <w:tcW w:type="dxa" w:w="1440"/>
          </w:tcPr>
          <w:p>
            <w:r>
              <w:rPr>
                <w:rFonts w:ascii="Calibri" w:hAnsi="Calibri"/>
                <w:sz w:val="22"/>
              </w:rPr>
              <w:t>Q3 2025</w:t>
            </w:r>
          </w:p>
        </w:tc>
        <w:tc>
          <w:tcPr>
            <w:tcW w:type="dxa" w:w="1440"/>
          </w:tcPr>
          <w:p>
            <w:r>
              <w:rPr>
                <w:rFonts w:ascii="Calibri" w:hAnsi="Calibri"/>
                <w:sz w:val="22"/>
              </w:rPr>
              <w:t>Revenue</w:t>
            </w:r>
          </w:p>
        </w:tc>
        <w:tc>
          <w:tcPr>
            <w:tcW w:type="dxa" w:w="1440"/>
          </w:tcPr>
          <w:p>
            <w:r>
              <w:rPr>
                <w:rFonts w:ascii="Calibri" w:hAnsi="Calibri"/>
                <w:sz w:val="22"/>
              </w:rPr>
              <w:t>$2,451M</w:t>
            </w:r>
          </w:p>
        </w:tc>
        <w:tc>
          <w:tcPr>
            <w:tcW w:type="dxa" w:w="1440"/>
          </w:tcPr>
          <w:p>
            <w:r>
              <w:rPr>
                <w:rFonts w:ascii="Calibri" w:hAnsi="Calibri"/>
                <w:sz w:val="22"/>
              </w:rPr>
              <w:t>$2,165M</w:t>
            </w:r>
          </w:p>
        </w:tc>
        <w:tc>
          <w:tcPr>
            <w:tcW w:type="dxa" w:w="1440"/>
          </w:tcPr>
          <w:p>
            <w:r>
              <w:rPr>
                <w:rFonts w:ascii="Calibri" w:hAnsi="Calibri"/>
                <w:b/>
                <w:color w:val="30A46C"/>
                <w:sz w:val="22"/>
              </w:rPr>
              <w:t>+13.2%</w:t>
            </w:r>
          </w:p>
        </w:tc>
        <w:tc>
          <w:tcPr>
            <w:tcW w:type="dxa" w:w="1440"/>
          </w:tcPr>
          <w:p>
            <w:r>
              <w:rPr>
                <w:rFonts w:ascii="Calibri" w:hAnsi="Calibri"/>
                <w:b/>
                <w:sz w:val="22"/>
              </w:rPr>
              <w:t>Beat</w:t>
            </w:r>
          </w:p>
        </w:tc>
      </w:tr>
      <w:tr>
        <w:tc>
          <w:tcPr>
            <w:tcW w:type="dxa" w:w="1440"/>
          </w:tcPr>
          <w:p>
            <w:r>
              <w:rPr>
                <w:rFonts w:ascii="Calibri" w:hAnsi="Calibri"/>
                <w:sz w:val="22"/>
              </w:rPr>
              <w:t>Q3 2025</w:t>
            </w:r>
          </w:p>
        </w:tc>
        <w:tc>
          <w:tcPr>
            <w:tcW w:type="dxa" w:w="1440"/>
          </w:tcPr>
          <w:p>
            <w:r>
              <w:rPr>
                <w:rFonts w:ascii="Calibri" w:hAnsi="Calibri"/>
                <w:sz w:val="22"/>
              </w:rPr>
              <w:t>Op. EPS</w:t>
            </w:r>
          </w:p>
        </w:tc>
        <w:tc>
          <w:tcPr>
            <w:tcW w:type="dxa" w:w="1440"/>
          </w:tcPr>
          <w:p>
            <w:r>
              <w:rPr>
                <w:rFonts w:ascii="Calibri" w:hAnsi="Calibri"/>
                <w:sz w:val="22"/>
              </w:rPr>
              <w:t>$8.25</w:t>
            </w:r>
          </w:p>
        </w:tc>
        <w:tc>
          <w:tcPr>
            <w:tcW w:type="dxa" w:w="1440"/>
          </w:tcPr>
          <w:p>
            <w:r>
              <w:rPr>
                <w:rFonts w:ascii="Calibri" w:hAnsi="Calibri"/>
                <w:sz w:val="22"/>
              </w:rPr>
              <w:t>$6.43</w:t>
            </w:r>
          </w:p>
        </w:tc>
        <w:tc>
          <w:tcPr>
            <w:tcW w:type="dxa" w:w="1440"/>
          </w:tcPr>
          <w:p>
            <w:r>
              <w:rPr>
                <w:rFonts w:ascii="Calibri" w:hAnsi="Calibri"/>
                <w:b/>
                <w:color w:val="30A46C"/>
                <w:sz w:val="22"/>
              </w:rPr>
              <w:t>+28.3%</w:t>
            </w:r>
          </w:p>
        </w:tc>
        <w:tc>
          <w:tcPr>
            <w:tcW w:type="dxa" w:w="1440"/>
          </w:tcPr>
          <w:p>
            <w:r>
              <w:rPr>
                <w:rFonts w:ascii="Calibri" w:hAnsi="Calibri"/>
                <w:b/>
                <w:sz w:val="22"/>
              </w:rPr>
              <w:t>Beat</w:t>
            </w:r>
          </w:p>
        </w:tc>
      </w:tr>
      <w:tr>
        <w:tc>
          <w:tcPr>
            <w:tcW w:type="dxa" w:w="1440"/>
          </w:tcPr>
          <w:p>
            <w:r>
              <w:rPr>
                <w:rFonts w:ascii="Calibri" w:hAnsi="Calibri"/>
                <w:sz w:val="22"/>
              </w:rPr>
              <w:t>Q2 2025</w:t>
            </w:r>
          </w:p>
        </w:tc>
        <w:tc>
          <w:tcPr>
            <w:tcW w:type="dxa" w:w="1440"/>
          </w:tcPr>
          <w:p>
            <w:r>
              <w:rPr>
                <w:rFonts w:ascii="Calibri" w:hAnsi="Calibri"/>
                <w:sz w:val="22"/>
              </w:rPr>
              <w:t>Revenue</w:t>
            </w:r>
          </w:p>
        </w:tc>
        <w:tc>
          <w:tcPr>
            <w:tcW w:type="dxa" w:w="1440"/>
          </w:tcPr>
          <w:p>
            <w:r>
              <w:rPr>
                <w:rFonts w:ascii="Calibri" w:hAnsi="Calibri"/>
                <w:sz w:val="22"/>
              </w:rPr>
              <w:t>$2,173M</w:t>
            </w:r>
          </w:p>
        </w:tc>
        <w:tc>
          <w:tcPr>
            <w:tcW w:type="dxa" w:w="1440"/>
          </w:tcPr>
          <w:p>
            <w:r>
              <w:rPr>
                <w:rFonts w:ascii="Calibri" w:hAnsi="Calibri"/>
                <w:sz w:val="22"/>
              </w:rPr>
              <w:t>$1,966M</w:t>
            </w:r>
          </w:p>
        </w:tc>
        <w:tc>
          <w:tcPr>
            <w:tcW w:type="dxa" w:w="1440"/>
          </w:tcPr>
          <w:p>
            <w:r>
              <w:rPr>
                <w:rFonts w:ascii="Calibri" w:hAnsi="Calibri"/>
                <w:b/>
                <w:color w:val="30A46C"/>
                <w:sz w:val="22"/>
              </w:rPr>
              <w:t>+10.6%</w:t>
            </w:r>
          </w:p>
        </w:tc>
        <w:tc>
          <w:tcPr>
            <w:tcW w:type="dxa" w:w="1440"/>
          </w:tcPr>
          <w:p>
            <w:r>
              <w:rPr>
                <w:rFonts w:ascii="Calibri" w:hAnsi="Calibri"/>
                <w:b/>
                <w:sz w:val="22"/>
              </w:rPr>
              <w:t>Beat</w:t>
            </w:r>
          </w:p>
        </w:tc>
      </w:tr>
      <w:tr>
        <w:tc>
          <w:tcPr>
            <w:tcW w:type="dxa" w:w="1440"/>
          </w:tcPr>
          <w:p>
            <w:r>
              <w:rPr>
                <w:rFonts w:ascii="Calibri" w:hAnsi="Calibri"/>
                <w:sz w:val="22"/>
              </w:rPr>
              <w:t>Q2 2025</w:t>
            </w:r>
          </w:p>
        </w:tc>
        <w:tc>
          <w:tcPr>
            <w:tcW w:type="dxa" w:w="1440"/>
          </w:tcPr>
          <w:p>
            <w:r>
              <w:rPr>
                <w:rFonts w:ascii="Calibri" w:hAnsi="Calibri"/>
                <w:sz w:val="22"/>
              </w:rPr>
              <w:t>Op. EPS</w:t>
            </w:r>
          </w:p>
        </w:tc>
        <w:tc>
          <w:tcPr>
            <w:tcW w:type="dxa" w:w="1440"/>
          </w:tcPr>
          <w:p>
            <w:r>
              <w:rPr>
                <w:rFonts w:ascii="Calibri" w:hAnsi="Calibri"/>
                <w:sz w:val="22"/>
              </w:rPr>
              <w:t>$6.53</w:t>
            </w:r>
          </w:p>
        </w:tc>
        <w:tc>
          <w:tcPr>
            <w:tcW w:type="dxa" w:w="1440"/>
          </w:tcPr>
          <w:p>
            <w:r>
              <w:rPr>
                <w:rFonts w:ascii="Calibri" w:hAnsi="Calibri"/>
                <w:sz w:val="22"/>
              </w:rPr>
              <w:t>$5.01</w:t>
            </w:r>
          </w:p>
        </w:tc>
        <w:tc>
          <w:tcPr>
            <w:tcW w:type="dxa" w:w="1440"/>
          </w:tcPr>
          <w:p>
            <w:r>
              <w:rPr>
                <w:rFonts w:ascii="Calibri" w:hAnsi="Calibri"/>
                <w:b/>
                <w:color w:val="30A46C"/>
                <w:sz w:val="22"/>
              </w:rPr>
              <w:t>+30.3%</w:t>
            </w:r>
          </w:p>
        </w:tc>
        <w:tc>
          <w:tcPr>
            <w:tcW w:type="dxa" w:w="1440"/>
          </w:tcPr>
          <w:p>
            <w:r>
              <w:rPr>
                <w:rFonts w:ascii="Calibri" w:hAnsi="Calibri"/>
                <w:b/>
                <w:sz w:val="22"/>
              </w:rPr>
              <w:t>Beat</w:t>
            </w:r>
          </w:p>
        </w:tc>
      </w:tr>
      <w:tr>
        <w:tc>
          <w:tcPr>
            <w:tcW w:type="dxa" w:w="1440"/>
          </w:tcPr>
          <w:p>
            <w:r>
              <w:rPr>
                <w:rFonts w:ascii="Calibri" w:hAnsi="Calibri"/>
                <w:sz w:val="22"/>
              </w:rPr>
              <w:t>Q1 2025</w:t>
            </w:r>
          </w:p>
        </w:tc>
        <w:tc>
          <w:tcPr>
            <w:tcW w:type="dxa" w:w="1440"/>
          </w:tcPr>
          <w:p>
            <w:r>
              <w:rPr>
                <w:rFonts w:ascii="Calibri" w:hAnsi="Calibri"/>
                <w:sz w:val="22"/>
              </w:rPr>
              <w:t>Revenue</w:t>
            </w:r>
          </w:p>
        </w:tc>
        <w:tc>
          <w:tcPr>
            <w:tcW w:type="dxa" w:w="1440"/>
          </w:tcPr>
          <w:p>
            <w:r>
              <w:rPr>
                <w:rFonts w:ascii="Calibri" w:hAnsi="Calibri"/>
                <w:sz w:val="22"/>
              </w:rPr>
              <w:t>$1,831M</w:t>
            </w:r>
          </w:p>
        </w:tc>
        <w:tc>
          <w:tcPr>
            <w:tcW w:type="dxa" w:w="1440"/>
          </w:tcPr>
          <w:p>
            <w:r>
              <w:rPr>
                <w:rFonts w:ascii="Calibri" w:hAnsi="Calibri"/>
                <w:sz w:val="22"/>
              </w:rPr>
              <w:t>$1,758M</w:t>
            </w:r>
          </w:p>
        </w:tc>
        <w:tc>
          <w:tcPr>
            <w:tcW w:type="dxa" w:w="1440"/>
          </w:tcPr>
          <w:p>
            <w:r>
              <w:rPr>
                <w:rFonts w:ascii="Calibri" w:hAnsi="Calibri"/>
                <w:b/>
                <w:color w:val="30A46C"/>
                <w:sz w:val="22"/>
              </w:rPr>
              <w:t>+4.2%</w:t>
            </w:r>
          </w:p>
        </w:tc>
        <w:tc>
          <w:tcPr>
            <w:tcW w:type="dxa" w:w="1440"/>
          </w:tcPr>
          <w:p>
            <w:r>
              <w:rPr>
                <w:rFonts w:ascii="Calibri" w:hAnsi="Calibri"/>
                <w:b/>
                <w:sz w:val="22"/>
              </w:rPr>
              <w:t>Beat</w:t>
            </w:r>
          </w:p>
        </w:tc>
      </w:tr>
      <w:tr>
        <w:tc>
          <w:tcPr>
            <w:tcW w:type="dxa" w:w="1440"/>
          </w:tcPr>
          <w:p>
            <w:r>
              <w:rPr>
                <w:rFonts w:ascii="Calibri" w:hAnsi="Calibri"/>
                <w:sz w:val="22"/>
              </w:rPr>
              <w:t>Q1 2025</w:t>
            </w:r>
          </w:p>
        </w:tc>
        <w:tc>
          <w:tcPr>
            <w:tcW w:type="dxa" w:w="1440"/>
          </w:tcPr>
          <w:p>
            <w:r>
              <w:rPr>
                <w:rFonts w:ascii="Calibri" w:hAnsi="Calibri"/>
                <w:sz w:val="22"/>
              </w:rPr>
              <w:t>Op. EPS</w:t>
            </w:r>
          </w:p>
        </w:tc>
        <w:tc>
          <w:tcPr>
            <w:tcW w:type="dxa" w:w="1440"/>
          </w:tcPr>
          <w:p>
            <w:r>
              <w:rPr>
                <w:rFonts w:ascii="Calibri" w:hAnsi="Calibri"/>
                <w:sz w:val="22"/>
              </w:rPr>
              <w:t>$4.75</w:t>
            </w:r>
          </w:p>
        </w:tc>
        <w:tc>
          <w:tcPr>
            <w:tcW w:type="dxa" w:w="1440"/>
          </w:tcPr>
          <w:p>
            <w:r>
              <w:rPr>
                <w:rFonts w:ascii="Calibri" w:hAnsi="Calibri"/>
                <w:sz w:val="22"/>
              </w:rPr>
              <w:t>$3.67</w:t>
            </w:r>
          </w:p>
        </w:tc>
        <w:tc>
          <w:tcPr>
            <w:tcW w:type="dxa" w:w="1440"/>
          </w:tcPr>
          <w:p>
            <w:r>
              <w:rPr>
                <w:rFonts w:ascii="Calibri" w:hAnsi="Calibri"/>
                <w:b/>
                <w:color w:val="30A46C"/>
                <w:sz w:val="22"/>
              </w:rPr>
              <w:t>+29.5%</w:t>
            </w:r>
          </w:p>
        </w:tc>
        <w:tc>
          <w:tcPr>
            <w:tcW w:type="dxa" w:w="1440"/>
          </w:tcPr>
          <w:p>
            <w:r>
              <w:rPr>
                <w:rFonts w:ascii="Calibri" w:hAnsi="Calibri"/>
                <w:b/>
                <w:sz w:val="22"/>
              </w:rPr>
              <w:t>Beat</w:t>
            </w:r>
          </w:p>
        </w:tc>
      </w:tr>
      <w:tr>
        <w:tc>
          <w:tcPr>
            <w:tcW w:type="dxa" w:w="1440"/>
          </w:tcPr>
          <w:p>
            <w:r>
              <w:rPr>
                <w:rFonts w:ascii="Calibri" w:hAnsi="Calibri"/>
                <w:sz w:val="22"/>
              </w:rPr>
              <w:t>Q4 2024</w:t>
            </w:r>
          </w:p>
        </w:tc>
        <w:tc>
          <w:tcPr>
            <w:tcW w:type="dxa" w:w="1440"/>
          </w:tcPr>
          <w:p>
            <w:r>
              <w:rPr>
                <w:rFonts w:ascii="Calibri" w:hAnsi="Calibri"/>
                <w:sz w:val="22"/>
              </w:rPr>
              <w:t>Revenue</w:t>
            </w:r>
          </w:p>
        </w:tc>
        <w:tc>
          <w:tcPr>
            <w:tcW w:type="dxa" w:w="1440"/>
          </w:tcPr>
          <w:p>
            <w:r>
              <w:rPr>
                <w:rFonts w:ascii="Calibri" w:hAnsi="Calibri"/>
                <w:sz w:val="22"/>
              </w:rPr>
              <w:t>$1,868M</w:t>
            </w:r>
          </w:p>
        </w:tc>
        <w:tc>
          <w:tcPr>
            <w:tcW w:type="dxa" w:w="1440"/>
          </w:tcPr>
          <w:p>
            <w:r>
              <w:rPr>
                <w:rFonts w:ascii="Calibri" w:hAnsi="Calibri"/>
                <w:sz w:val="22"/>
              </w:rPr>
              <w:t>$1,770M</w:t>
            </w:r>
          </w:p>
        </w:tc>
        <w:tc>
          <w:tcPr>
            <w:tcW w:type="dxa" w:w="1440"/>
          </w:tcPr>
          <w:p>
            <w:r>
              <w:rPr>
                <w:rFonts w:ascii="Calibri" w:hAnsi="Calibri"/>
                <w:b/>
                <w:color w:val="30A46C"/>
                <w:sz w:val="22"/>
              </w:rPr>
              <w:t>+5.5%</w:t>
            </w:r>
          </w:p>
        </w:tc>
        <w:tc>
          <w:tcPr>
            <w:tcW w:type="dxa" w:w="1440"/>
          </w:tcPr>
          <w:p>
            <w:r>
              <w:rPr>
                <w:rFonts w:ascii="Calibri" w:hAnsi="Calibri"/>
                <w:b/>
                <w:sz w:val="22"/>
              </w:rPr>
              <w:t>Beat</w:t>
            </w:r>
          </w:p>
        </w:tc>
      </w:tr>
      <w:tr>
        <w:tc>
          <w:tcPr>
            <w:tcW w:type="dxa" w:w="1440"/>
          </w:tcPr>
          <w:p>
            <w:r>
              <w:rPr>
                <w:rFonts w:ascii="Calibri" w:hAnsi="Calibri"/>
                <w:sz w:val="22"/>
              </w:rPr>
              <w:t>Q4 2024</w:t>
            </w:r>
          </w:p>
        </w:tc>
        <w:tc>
          <w:tcPr>
            <w:tcW w:type="dxa" w:w="1440"/>
          </w:tcPr>
          <w:p>
            <w:r>
              <w:rPr>
                <w:rFonts w:ascii="Calibri" w:hAnsi="Calibri"/>
                <w:sz w:val="22"/>
              </w:rPr>
              <w:t>Op. EPS</w:t>
            </w:r>
          </w:p>
        </w:tc>
        <w:tc>
          <w:tcPr>
            <w:tcW w:type="dxa" w:w="1440"/>
          </w:tcPr>
          <w:p>
            <w:r>
              <w:rPr>
                <w:rFonts w:ascii="Calibri" w:hAnsi="Calibri"/>
                <w:sz w:val="22"/>
              </w:rPr>
              <w:t>$4.09</w:t>
            </w:r>
          </w:p>
        </w:tc>
        <w:tc>
          <w:tcPr>
            <w:tcW w:type="dxa" w:w="1440"/>
          </w:tcPr>
          <w:p>
            <w:r>
              <w:rPr>
                <w:rFonts w:ascii="Calibri" w:hAnsi="Calibri"/>
                <w:sz w:val="22"/>
              </w:rPr>
              <w:t>$3.73</w:t>
            </w:r>
          </w:p>
        </w:tc>
        <w:tc>
          <w:tcPr>
            <w:tcW w:type="dxa" w:w="1440"/>
          </w:tcPr>
          <w:p>
            <w:r>
              <w:rPr>
                <w:rFonts w:ascii="Calibri" w:hAnsi="Calibri"/>
                <w:b/>
                <w:color w:val="30A46C"/>
                <w:sz w:val="22"/>
              </w:rPr>
              <w:t>+9.7%</w:t>
            </w:r>
          </w:p>
        </w:tc>
        <w:tc>
          <w:tcPr>
            <w:tcW w:type="dxa" w:w="1440"/>
          </w:tcPr>
          <w:p>
            <w:r>
              <w:rPr>
                <w:rFonts w:ascii="Calibri" w:hAnsi="Calibri"/>
                <w:b/>
                <w:sz w:val="22"/>
              </w:rPr>
              <w:t>Beat</w:t>
            </w:r>
          </w:p>
        </w:tc>
      </w:tr>
      <w:tr>
        <w:tc>
          <w:tcPr>
            <w:tcW w:type="dxa" w:w="1440"/>
          </w:tcPr>
          <w:p>
            <w:r>
              <w:rPr>
                <w:rFonts w:ascii="Calibri" w:hAnsi="Calibri"/>
                <w:sz w:val="22"/>
              </w:rPr>
              <w:t>Q3 2024</w:t>
            </w:r>
          </w:p>
        </w:tc>
        <w:tc>
          <w:tcPr>
            <w:tcW w:type="dxa" w:w="1440"/>
          </w:tcPr>
          <w:p>
            <w:r>
              <w:rPr>
                <w:rFonts w:ascii="Calibri" w:hAnsi="Calibri"/>
                <w:sz w:val="22"/>
              </w:rPr>
              <w:t>Revenue</w:t>
            </w:r>
          </w:p>
        </w:tc>
        <w:tc>
          <w:tcPr>
            <w:tcW w:type="dxa" w:w="1440"/>
          </w:tcPr>
          <w:p>
            <w:r>
              <w:rPr>
                <w:rFonts w:ascii="Calibri" w:hAnsi="Calibri"/>
                <w:sz w:val="22"/>
              </w:rPr>
              <w:t>$1,812M</w:t>
            </w:r>
          </w:p>
        </w:tc>
        <w:tc>
          <w:tcPr>
            <w:tcW w:type="dxa" w:w="1440"/>
          </w:tcPr>
          <w:p>
            <w:r>
              <w:rPr>
                <w:rFonts w:ascii="Calibri" w:hAnsi="Calibri"/>
                <w:sz w:val="22"/>
              </w:rPr>
              <w:t>$1,845M</w:t>
            </w:r>
          </w:p>
        </w:tc>
        <w:tc>
          <w:tcPr>
            <w:tcW w:type="dxa" w:w="1440"/>
          </w:tcPr>
          <w:p>
            <w:r>
              <w:rPr>
                <w:rFonts w:ascii="Calibri" w:hAnsi="Calibri"/>
                <w:b/>
                <w:color w:val="E5484D"/>
                <w:sz w:val="22"/>
              </w:rPr>
              <w:t>−1.8%</w:t>
            </w:r>
          </w:p>
        </w:tc>
        <w:tc>
          <w:tcPr>
            <w:tcW w:type="dxa" w:w="1440"/>
          </w:tcPr>
          <w:p>
            <w:r>
              <w:rPr>
                <w:rFonts w:ascii="Calibri" w:hAnsi="Calibri"/>
                <w:b/>
                <w:sz w:val="22"/>
              </w:rPr>
              <w:t>Miss</w:t>
            </w:r>
          </w:p>
        </w:tc>
      </w:tr>
      <w:tr>
        <w:tc>
          <w:tcPr>
            <w:tcW w:type="dxa" w:w="1440"/>
          </w:tcPr>
          <w:p>
            <w:r>
              <w:rPr>
                <w:rFonts w:ascii="Calibri" w:hAnsi="Calibri"/>
                <w:sz w:val="22"/>
              </w:rPr>
              <w:t>Q3 2024</w:t>
            </w:r>
          </w:p>
        </w:tc>
        <w:tc>
          <w:tcPr>
            <w:tcW w:type="dxa" w:w="1440"/>
          </w:tcPr>
          <w:p>
            <w:r>
              <w:rPr>
                <w:rFonts w:ascii="Calibri" w:hAnsi="Calibri"/>
                <w:sz w:val="22"/>
              </w:rPr>
              <w:t>Op. EPS</w:t>
            </w:r>
          </w:p>
        </w:tc>
        <w:tc>
          <w:tcPr>
            <w:tcW w:type="dxa" w:w="1440"/>
          </w:tcPr>
          <w:p>
            <w:r>
              <w:rPr>
                <w:rFonts w:ascii="Calibri" w:hAnsi="Calibri"/>
                <w:sz w:val="22"/>
              </w:rPr>
              <w:t>$4.09</w:t>
            </w:r>
          </w:p>
        </w:tc>
        <w:tc>
          <w:tcPr>
            <w:tcW w:type="dxa" w:w="1440"/>
          </w:tcPr>
          <w:p>
            <w:r>
              <w:rPr>
                <w:rFonts w:ascii="Calibri" w:hAnsi="Calibri"/>
                <w:sz w:val="22"/>
              </w:rPr>
              <w:t>$4.04</w:t>
            </w:r>
          </w:p>
        </w:tc>
        <w:tc>
          <w:tcPr>
            <w:tcW w:type="dxa" w:w="1440"/>
          </w:tcPr>
          <w:p>
            <w:r>
              <w:rPr>
                <w:rFonts w:ascii="Calibri" w:hAnsi="Calibri"/>
                <w:sz w:val="22"/>
              </w:rPr>
              <w:t>+1.3%</w:t>
            </w:r>
          </w:p>
        </w:tc>
        <w:tc>
          <w:tcPr>
            <w:tcW w:type="dxa" w:w="1440"/>
          </w:tcPr>
          <w:p>
            <w:r>
              <w:rPr>
                <w:rFonts w:ascii="Calibri" w:hAnsi="Calibri"/>
                <w:sz w:val="22"/>
              </w:rPr>
              <w:t>Slight Beat</w:t>
            </w:r>
          </w:p>
        </w:tc>
      </w:tr>
    </w:tbl>
    <w:p>
      <w:r>
        <w:rPr>
          <w:rFonts w:ascii="Calibri" w:hAnsi="Calibri"/>
          <w:b/>
          <w:color w:val="525866"/>
          <w:sz w:val="22"/>
        </w:rPr>
        <w:t xml:space="preserve">Pattern: </w:t>
      </w:r>
      <w:r>
        <w:rPr>
          <w:rFonts w:ascii="Calibri" w:hAnsi="Calibri"/>
          <w:color w:val="525866"/>
          <w:sz w:val="22"/>
        </w:rPr>
        <w:t>FIX has beaten revenue consensus in 7 of the last 8 quarters and operating EPS in all 8, with beat magnitudes accelerating sharply since Q2 2025 as the AI/data center supercycle drove demand well above Street models — the Q1 2026 EPS beat of +51% is the largest in recent history and sets a high bar for the Street to calibrate correctly this cycle.</w:t>
      </w:r>
    </w:p>
    <w:p>
      <w:r>
        <w:rPr>
          <w:rFonts w:ascii="Calibri" w:hAnsi="Calibri"/>
          <w:b/>
          <w:color w:val="525866"/>
          <w:sz w:val="22"/>
        </w:rPr>
        <w:t xml:space="preserve">Source: </w:t>
      </w:r>
      <w:r>
        <w:rPr>
          <w:rFonts w:ascii="Calibri" w:hAnsi="Calibri"/>
          <w:color w:val="525866"/>
          <w:sz w:val="22"/>
        </w:rPr>
        <w:t>Visible Alpha Consensus and Actuals Data.</w:t>
      </w:r>
    </w:p>
    <w:p>
      <w:r>
        <w:br w:type="page"/>
      </w:r>
    </w:p>
    <w:p>
      <w:pPr>
        <w:pStyle w:val="Heading1"/>
        <w:pBdr>
          <w:bottom w:val="single" w:sz="4" w:space="1" w:color="FB9120"/>
        </w:pBdr>
      </w:pPr>
      <w:r>
        <w:rPr>
          <w:rFonts w:ascii="Calibri" w:hAnsi="Calibri"/>
          <w:b/>
          <w:color w:val="3B4259"/>
          <w:sz w:val="40"/>
        </w:rPr>
        <w:t>4. Guidance vs. Estimate Revision Tracker</w:t>
      </w:r>
    </w:p>
    <w:p>
      <w:r>
        <w:rPr>
          <w:rFonts w:ascii="Calibri" w:hAnsi="Calibri"/>
          <w:b/>
          <w:color w:val="525866"/>
          <w:sz w:val="22"/>
        </w:rPr>
        <w:t xml:space="preserve">Key Takeaway: </w:t>
      </w:r>
      <w:r>
        <w:rPr>
          <w:rFonts w:ascii="Calibri" w:hAnsi="Calibri"/>
          <w:color w:val="525866"/>
          <w:sz w:val="22"/>
        </w:rPr>
        <w:t>Estimates for Q2 2026 and FY 2026 have been remarkably stable since the Q1 print — revenue consensus is essentially flat and operating EPS is unchanged — suggesting the Street has not aggressively revised upward despite management’s bullish tone, which creates potential for another beat if execution matches guidance.</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&amp; Period</w:t>
            </w:r>
          </w:p>
        </w:tc>
        <w:tc>
          <w:tcPr>
            <w:tcW w:type="dxa" w:w="1080"/>
            <w:shd w:val="clear" w:color="auto" w:fill="3B4259"/>
          </w:tcPr>
          <w:p>
            <w:r>
              <w:rPr>
                <w:rFonts w:ascii="Calibri" w:hAnsi="Calibri"/>
                <w:b/>
                <w:color w:val="FFFFFF"/>
                <w:sz w:val="22"/>
              </w:rPr>
              <w:t>Estimate (May 1, 2026 — 5 Days Post Q1 Print)</w:t>
            </w:r>
          </w:p>
        </w:tc>
        <w:tc>
          <w:tcPr>
            <w:tcW w:type="dxa" w:w="1080"/>
            <w:shd w:val="clear" w:color="auto" w:fill="3B4259"/>
          </w:tcPr>
          <w:p>
            <w:r>
              <w:rPr>
                <w:rFonts w:ascii="Calibri" w:hAnsi="Calibri"/>
                <w:b/>
                <w:color w:val="FFFFFF"/>
                <w:sz w:val="22"/>
              </w:rPr>
              <w:t>Current Consensus (Jul 22,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2026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Revenue — Q2 2026</w:t>
            </w:r>
          </w:p>
        </w:tc>
        <w:tc>
          <w:tcPr>
            <w:tcW w:type="dxa" w:w="1080"/>
          </w:tcPr>
          <w:p>
            <w:r>
              <w:rPr>
                <w:rFonts w:ascii="Calibri" w:hAnsi="Calibri"/>
                <w:sz w:val="22"/>
              </w:rPr>
              <w:t>$2,977M</w:t>
            </w:r>
          </w:p>
        </w:tc>
        <w:tc>
          <w:tcPr>
            <w:tcW w:type="dxa" w:w="1080"/>
          </w:tcPr>
          <w:p>
            <w:r>
              <w:rPr>
                <w:rFonts w:ascii="Calibri" w:hAnsi="Calibri"/>
                <w:sz w:val="22"/>
              </w:rPr>
              <w:t>$2,971M</w:t>
            </w:r>
          </w:p>
        </w:tc>
        <w:tc>
          <w:tcPr>
            <w:tcW w:type="dxa" w:w="1080"/>
          </w:tcPr>
          <w:p>
            <w:r>
              <w:rPr>
                <w:rFonts w:ascii="Calibri" w:hAnsi="Calibri"/>
                <w:sz w:val="22"/>
              </w:rPr>
              <w:t>−0.2%</w:t>
            </w:r>
          </w:p>
        </w:tc>
        <w:tc>
          <w:tcPr>
            <w:tcW w:type="dxa" w:w="1080"/>
          </w:tcPr>
          <w:p>
            <w:r>
              <w:rPr>
                <w:rFonts w:ascii="Calibri" w:hAnsi="Calibri"/>
                <w:sz w:val="22"/>
              </w:rPr>
              <w:t>Mid-to-high 20s% same-store growth for FY; implies Q2 well above 20% YoY</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In line</w:t>
            </w:r>
          </w:p>
        </w:tc>
      </w:tr>
      <w:tr>
        <w:tc>
          <w:tcPr>
            <w:tcW w:type="dxa" w:w="1080"/>
          </w:tcPr>
          <w:p>
            <w:r>
              <w:rPr>
                <w:rFonts w:ascii="Calibri" w:hAnsi="Calibri"/>
                <w:sz w:val="22"/>
              </w:rPr>
              <w:t>Revenue — FY 2026</w:t>
            </w:r>
          </w:p>
        </w:tc>
        <w:tc>
          <w:tcPr>
            <w:tcW w:type="dxa" w:w="1080"/>
          </w:tcPr>
          <w:p>
            <w:r>
              <w:rPr>
                <w:rFonts w:ascii="Calibri" w:hAnsi="Calibri"/>
                <w:sz w:val="22"/>
              </w:rPr>
              <w:t>$11,939M</w:t>
            </w:r>
          </w:p>
        </w:tc>
        <w:tc>
          <w:tcPr>
            <w:tcW w:type="dxa" w:w="1080"/>
          </w:tcPr>
          <w:p>
            <w:r>
              <w:rPr>
                <w:rFonts w:ascii="Calibri" w:hAnsi="Calibri"/>
                <w:sz w:val="22"/>
              </w:rPr>
              <w:t>$11,926M</w:t>
            </w:r>
          </w:p>
        </w:tc>
        <w:tc>
          <w:tcPr>
            <w:tcW w:type="dxa" w:w="1080"/>
          </w:tcPr>
          <w:p>
            <w:r>
              <w:rPr>
                <w:rFonts w:ascii="Calibri" w:hAnsi="Calibri"/>
                <w:sz w:val="22"/>
              </w:rPr>
              <w:t>−0.1%</w:t>
            </w:r>
          </w:p>
        </w:tc>
        <w:tc>
          <w:tcPr>
            <w:tcW w:type="dxa" w:w="1080"/>
          </w:tcPr>
          <w:p>
            <w:r>
              <w:rPr>
                <w:rFonts w:ascii="Calibri" w:hAnsi="Calibri"/>
                <w:sz w:val="22"/>
              </w:rPr>
              <w:t>Mid-to-high 20s% same-store growth</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In line</w:t>
            </w:r>
          </w:p>
        </w:tc>
      </w:tr>
      <w:tr>
        <w:tc>
          <w:tcPr>
            <w:tcW w:type="dxa" w:w="1080"/>
          </w:tcPr>
          <w:p>
            <w:r>
              <w:rPr>
                <w:rFonts w:ascii="Calibri" w:hAnsi="Calibri"/>
                <w:sz w:val="22"/>
              </w:rPr>
              <w:t>Op. EPS — Q2 2026</w:t>
            </w:r>
          </w:p>
        </w:tc>
        <w:tc>
          <w:tcPr>
            <w:tcW w:type="dxa" w:w="1080"/>
          </w:tcPr>
          <w:p>
            <w:r>
              <w:rPr>
                <w:rFonts w:ascii="Calibri" w:hAnsi="Calibri"/>
                <w:sz w:val="22"/>
              </w:rPr>
              <w:t>$10.60</w:t>
            </w:r>
          </w:p>
        </w:tc>
        <w:tc>
          <w:tcPr>
            <w:tcW w:type="dxa" w:w="1080"/>
          </w:tcPr>
          <w:p>
            <w:r>
              <w:rPr>
                <w:rFonts w:ascii="Calibri" w:hAnsi="Calibri"/>
                <w:sz w:val="22"/>
              </w:rPr>
              <w:t>$10.60</w:t>
            </w:r>
          </w:p>
        </w:tc>
        <w:tc>
          <w:tcPr>
            <w:tcW w:type="dxa" w:w="1080"/>
          </w:tcPr>
          <w:p>
            <w:r>
              <w:rPr>
                <w:rFonts w:ascii="Calibri" w:hAnsi="Calibri"/>
                <w:sz w:val="22"/>
              </w:rPr>
              <w:t>0.0%</w:t>
            </w:r>
          </w:p>
        </w:tc>
        <w:tc>
          <w:tcPr>
            <w:tcW w:type="dxa" w:w="1080"/>
          </w:tcPr>
          <w:p>
            <w:r>
              <w:rPr>
                <w:rFonts w:ascii="Calibri" w:hAnsi="Calibri"/>
                <w:sz w:val="22"/>
              </w:rPr>
              <w:t>No explicit quarterly EPS guide; margins guided to “strong ranges”</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Op. EPS — FY 2026</w:t>
            </w:r>
          </w:p>
        </w:tc>
        <w:tc>
          <w:tcPr>
            <w:tcW w:type="dxa" w:w="1080"/>
          </w:tcPr>
          <w:p>
            <w:r>
              <w:rPr>
                <w:rFonts w:ascii="Calibri" w:hAnsi="Calibri"/>
                <w:sz w:val="22"/>
              </w:rPr>
              <w:t>$43.43</w:t>
            </w:r>
          </w:p>
        </w:tc>
        <w:tc>
          <w:tcPr>
            <w:tcW w:type="dxa" w:w="1080"/>
          </w:tcPr>
          <w:p>
            <w:r>
              <w:rPr>
                <w:rFonts w:ascii="Calibri" w:hAnsi="Calibri"/>
                <w:sz w:val="22"/>
              </w:rPr>
              <w:t>$43.43</w:t>
            </w:r>
          </w:p>
        </w:tc>
        <w:tc>
          <w:tcPr>
            <w:tcW w:type="dxa" w:w="1080"/>
          </w:tcPr>
          <w:p>
            <w:r>
              <w:rPr>
                <w:rFonts w:ascii="Calibri" w:hAnsi="Calibri"/>
                <w:sz w:val="22"/>
              </w:rPr>
              <w:t>0.0%</w:t>
            </w:r>
          </w:p>
        </w:tc>
        <w:tc>
          <w:tcPr>
            <w:tcW w:type="dxa" w:w="1080"/>
          </w:tcPr>
          <w:p>
            <w:r>
              <w:rPr>
                <w:rFonts w:ascii="Calibri" w:hAnsi="Calibri"/>
                <w:sz w:val="22"/>
              </w:rPr>
              <w:t>No explicit FY EPS guide</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Gross Margin — Q2 2026</w:t>
            </w:r>
          </w:p>
        </w:tc>
        <w:tc>
          <w:tcPr>
            <w:tcW w:type="dxa" w:w="1080"/>
          </w:tcPr>
          <w:p>
            <w:r>
              <w:rPr>
                <w:rFonts w:ascii="Calibri" w:hAnsi="Calibri"/>
                <w:sz w:val="22"/>
              </w:rPr>
              <w:t>~25.2%</w:t>
            </w:r>
          </w:p>
        </w:tc>
        <w:tc>
          <w:tcPr>
            <w:tcW w:type="dxa" w:w="1080"/>
          </w:tcPr>
          <w:p>
            <w:r>
              <w:rPr>
                <w:rFonts w:ascii="Calibri" w:hAnsi="Calibri"/>
                <w:sz w:val="22"/>
              </w:rPr>
              <w:t>~25.2%</w:t>
            </w:r>
          </w:p>
        </w:tc>
        <w:tc>
          <w:tcPr>
            <w:tcW w:type="dxa" w:w="1080"/>
          </w:tcPr>
          <w:p>
            <w:r>
              <w:rPr>
                <w:rFonts w:ascii="Calibri" w:hAnsi="Calibri"/>
                <w:sz w:val="22"/>
              </w:rPr>
              <w:t>0.0%</w:t>
            </w:r>
          </w:p>
        </w:tc>
        <w:tc>
          <w:tcPr>
            <w:tcW w:type="dxa" w:w="1080"/>
          </w:tcPr>
          <w:p>
            <w:r>
              <w:rPr>
                <w:rFonts w:ascii="Calibri" w:hAnsi="Calibri"/>
                <w:sz w:val="22"/>
              </w:rPr>
              <w:t>“Strong ranges averaged over past several quarters”</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In line</w:t>
            </w:r>
          </w:p>
        </w:tc>
      </w:tr>
    </w:tbl>
    <w:p>
      <w:r>
        <w:rPr>
          <w:rFonts w:ascii="Calibri" w:hAnsi="Calibri"/>
          <w:color w:val="525866"/>
          <w:sz w:val="22"/>
        </w:rPr>
        <w:t>The near-zero revision in both revenue and EPS estimates since the Q1 print is notable: despite a massive Q1 beat and a guidance raise, the Street has not materially moved numbers higher, implying either skepticism about sustainability or a wait-and-see posture. This creates an asymmetric setup — if Q2 execution matches or exceeds Q1’s adjusted run-rate, estimates will need to move up sharply for H2 and FY 2027.</w:t>
      </w:r>
    </w:p>
    <w:p>
      <w:r>
        <w:rPr>
          <w:rFonts w:ascii="Calibri" w:hAnsi="Calibri"/>
          <w:b/>
          <w:color w:val="525866"/>
          <w:sz w:val="22"/>
        </w:rPr>
        <w:t xml:space="preserve">Source: </w:t>
      </w:r>
      <w:r>
        <w:rPr>
          <w:rFonts w:ascii="Calibri" w:hAnsi="Calibri"/>
          <w:color w:val="525866"/>
          <w:sz w:val="22"/>
        </w:rPr>
        <w:t>Visible Alpha Consensus and Actuals Data (revision history May 1 – July 22, 2026); FIX Q1 2026 Earnings Call Transcript.</w:t>
      </w:r>
    </w:p>
    <w:p>
      <w:r>
        <w:br w:type="page"/>
      </w:r>
    </w:p>
    <w:p>
      <w:pPr>
        <w:pStyle w:val="Heading1"/>
        <w:pBdr>
          <w:bottom w:val="single" w:sz="4" w:space="1" w:color="FB9120"/>
        </w:pBdr>
      </w:pPr>
      <w:r>
        <w:rPr>
          <w:rFonts w:ascii="Calibri" w:hAnsi="Calibri"/>
          <w:b/>
          <w:color w:val="3B4259"/>
          <w:sz w:val="40"/>
        </w:rPr>
        <w:t>5. Stock Performance</w:t>
      </w:r>
    </w:p>
    <w:p>
      <w:r>
        <w:rPr>
          <w:rFonts w:ascii="Calibri" w:hAnsi="Calibri"/>
          <w:b/>
          <w:color w:val="525866"/>
          <w:sz w:val="22"/>
        </w:rPr>
        <w:t xml:space="preserve">Key Takeaway: </w:t>
      </w:r>
      <w:r>
        <w:rPr>
          <w:rFonts w:ascii="Calibri" w:hAnsi="Calibri"/>
          <w:color w:val="525866"/>
          <w:sz w:val="22"/>
        </w:rPr>
        <w:t>FIX’s +57.8% 6-month return has been driven by both earnings growth and multiple expansion (+5.9% EV/EBITDA), but the stock has given back ~13% over the past month as the market digests the elevated valuation (37x NTM P/E); PAVE and SPY have been far more stable, suggesting FIX-specific multiple compression is the dominant recent headwind.</w:t>
      </w:r>
    </w:p>
    <w:p>
      <w:r>
        <w:rPr>
          <w:rFonts w:ascii="Calibri" w:hAnsi="Calibri"/>
          <w:b/>
          <w:color w:val="525866"/>
          <w:sz w:val="22"/>
        </w:rPr>
        <w:t xml:space="preserve">Sector ETF used: </w:t>
      </w:r>
      <w:r>
        <w:rPr>
          <w:rFonts w:ascii="Calibri" w:hAnsi="Calibri"/>
          <w:color w:val="525866"/>
          <w:sz w:val="22"/>
        </w:rPr>
        <w:t>PAVE (Global X U.S. Infrastructure Development ETF) — selected as the most relevant sub-sector proxy for FIX, given its heavy weighting toward domestic construction, engineering, and industrial companies that benefit from the same infrastructure and data center buildout tailwinds.</w:t>
      </w:r>
    </w:p>
    <w:p>
      <w:r>
        <w:rPr>
          <w:rFonts w:ascii="Calibri" w:hAnsi="Calibri"/>
          <w:color w:val="525866"/>
          <w:sz w:val="22"/>
        </w:rPr>
        <w:t>The chart below indexes FIX, PAVE, and SPY to 100 at the Q1 2026 earnings date (April 23, 2026 close) and tracks performance through July 23, 2026. Key events are marked.</w:t>
      </w:r>
    </w:p>
    <w:p>
      <w:pPr>
        <w:pStyle w:val="Heading2"/>
      </w:pPr>
      <w:r>
        <w:rPr>
          <w:rFonts w:ascii="Calibri" w:hAnsi="Calibri"/>
          <w:b/>
          <w:color w:val="3B4259"/>
          <w:sz w:val="28"/>
        </w:rPr>
        <w:t>Indexed Price Performance: FIX vs. PAVE vs. SPY (Since Apr 23, 2026)</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Horizon</w:t>
            </w:r>
          </w:p>
        </w:tc>
        <w:tc>
          <w:tcPr>
            <w:tcW w:type="dxa" w:w="1728"/>
            <w:shd w:val="clear" w:color="auto" w:fill="3B4259"/>
          </w:tcPr>
          <w:p>
            <w:r>
              <w:rPr>
                <w:rFonts w:ascii="Calibri" w:hAnsi="Calibri"/>
                <w:b/>
                <w:color w:val="FFFFFF"/>
                <w:sz w:val="22"/>
              </w:rPr>
              <w:t>FIX Price Return</w:t>
            </w:r>
          </w:p>
        </w:tc>
        <w:tc>
          <w:tcPr>
            <w:tcW w:type="dxa" w:w="1728"/>
            <w:shd w:val="clear" w:color="auto" w:fill="3B4259"/>
          </w:tcPr>
          <w:p>
            <w:r>
              <w:rPr>
                <w:rFonts w:ascii="Calibri" w:hAnsi="Calibri"/>
                <w:b/>
                <w:color w:val="FFFFFF"/>
                <w:sz w:val="22"/>
              </w:rPr>
              <w:t>Primary Driver (EV/EBITDA)</w:t>
            </w:r>
          </w:p>
        </w:tc>
        <w:tc>
          <w:tcPr>
            <w:tcW w:type="dxa" w:w="1728"/>
            <w:shd w:val="clear" w:color="auto" w:fill="3B4259"/>
          </w:tcPr>
          <w:p>
            <w:r>
              <w:rPr>
                <w:rFonts w:ascii="Calibri" w:hAnsi="Calibri"/>
                <w:b/>
                <w:color w:val="FFFFFF"/>
                <w:sz w:val="22"/>
              </w:rPr>
              <w:t>Multiple Δ</w:t>
            </w:r>
          </w:p>
        </w:tc>
        <w:tc>
          <w:tcPr>
            <w:tcW w:type="dxa" w:w="1728"/>
            <w:shd w:val="clear" w:color="auto" w:fill="3B4259"/>
          </w:tcPr>
          <w:p>
            <w:r>
              <w:rPr>
                <w:rFonts w:ascii="Calibri" w:hAnsi="Calibri"/>
                <w:b/>
                <w:color w:val="FFFFFF"/>
                <w:sz w:val="22"/>
              </w:rPr>
              <w:t>Interpretation</w:t>
            </w:r>
          </w:p>
        </w:tc>
      </w:tr>
      <w:tr>
        <w:tc>
          <w:tcPr>
            <w:tcW w:type="dxa" w:w="1728"/>
          </w:tcPr>
          <w:p>
            <w:r>
              <w:rPr>
                <w:rFonts w:ascii="Calibri" w:hAnsi="Calibri"/>
                <w:sz w:val="22"/>
              </w:rPr>
              <w:t>1 Month</w:t>
            </w:r>
          </w:p>
        </w:tc>
        <w:tc>
          <w:tcPr>
            <w:tcW w:type="dxa" w:w="1728"/>
          </w:tcPr>
          <w:p>
            <w:r>
              <w:rPr>
                <w:rFonts w:ascii="Calibri" w:hAnsi="Calibri"/>
                <w:b/>
                <w:color w:val="E5484D"/>
                <w:sz w:val="22"/>
              </w:rPr>
              <w:t>−13.3%</w:t>
            </w:r>
          </w:p>
        </w:tc>
        <w:tc>
          <w:tcPr>
            <w:tcW w:type="dxa" w:w="1728"/>
          </w:tcPr>
          <w:p>
            <w:r>
              <w:rPr>
                <w:rFonts w:ascii="Calibri" w:hAnsi="Calibri"/>
                <w:sz w:val="22"/>
              </w:rPr>
              <w:t>EV/EBITDA: 29.3x → 26.1x</w:t>
            </w:r>
          </w:p>
        </w:tc>
        <w:tc>
          <w:tcPr>
            <w:tcW w:type="dxa" w:w="1728"/>
          </w:tcPr>
          <w:p>
            <w:r>
              <w:rPr>
                <w:rFonts w:ascii="Calibri" w:hAnsi="Calibri"/>
                <w:sz w:val="22"/>
              </w:rPr>
              <w:t>−11.2%</w:t>
            </w:r>
          </w:p>
        </w:tc>
        <w:tc>
          <w:tcPr>
            <w:tcW w:type="dxa" w:w="1728"/>
          </w:tcPr>
          <w:p>
            <w:r>
              <w:rPr>
                <w:rFonts w:ascii="Calibri" w:hAnsi="Calibri"/>
                <w:sz w:val="22"/>
              </w:rPr>
              <w:t>Multiple compression dominant; earnings growth insufficient to offset de-rating</w:t>
            </w:r>
          </w:p>
        </w:tc>
      </w:tr>
      <w:tr>
        <w:tc>
          <w:tcPr>
            <w:tcW w:type="dxa" w:w="1728"/>
          </w:tcPr>
          <w:p>
            <w:r>
              <w:rPr>
                <w:rFonts w:ascii="Calibri" w:hAnsi="Calibri"/>
                <w:sz w:val="22"/>
              </w:rPr>
              <w:t>3 Months</w:t>
            </w:r>
          </w:p>
        </w:tc>
        <w:tc>
          <w:tcPr>
            <w:tcW w:type="dxa" w:w="1728"/>
          </w:tcPr>
          <w:p>
            <w:r>
              <w:rPr>
                <w:rFonts w:ascii="Calibri" w:hAnsi="Calibri"/>
                <w:sz w:val="22"/>
              </w:rPr>
              <w:t>+7.0%</w:t>
            </w:r>
          </w:p>
        </w:tc>
        <w:tc>
          <w:tcPr>
            <w:tcW w:type="dxa" w:w="1728"/>
          </w:tcPr>
          <w:p>
            <w:r>
              <w:rPr>
                <w:rFonts w:ascii="Calibri" w:hAnsi="Calibri"/>
                <w:sz w:val="22"/>
              </w:rPr>
              <w:t>EV/EBITDA: 30.3x → 26.1x</w:t>
            </w:r>
          </w:p>
        </w:tc>
        <w:tc>
          <w:tcPr>
            <w:tcW w:type="dxa" w:w="1728"/>
          </w:tcPr>
          <w:p>
            <w:r>
              <w:rPr>
                <w:rFonts w:ascii="Calibri" w:hAnsi="Calibri"/>
                <w:sz w:val="22"/>
              </w:rPr>
              <w:t>−13.9%</w:t>
            </w:r>
          </w:p>
        </w:tc>
        <w:tc>
          <w:tcPr>
            <w:tcW w:type="dxa" w:w="1728"/>
          </w:tcPr>
          <w:p>
            <w:r>
              <w:rPr>
                <w:rFonts w:ascii="Calibri" w:hAnsi="Calibri"/>
                <w:sz w:val="22"/>
              </w:rPr>
              <w:t>Earnings growth more than offset multiple compression; net positive</w:t>
            </w:r>
          </w:p>
        </w:tc>
      </w:tr>
      <w:tr>
        <w:tc>
          <w:tcPr>
            <w:tcW w:type="dxa" w:w="1728"/>
          </w:tcPr>
          <w:p>
            <w:r>
              <w:rPr>
                <w:rFonts w:ascii="Calibri" w:hAnsi="Calibri"/>
                <w:sz w:val="22"/>
              </w:rPr>
              <w:t>6 Months</w:t>
            </w:r>
          </w:p>
        </w:tc>
        <w:tc>
          <w:tcPr>
            <w:tcW w:type="dxa" w:w="1728"/>
          </w:tcPr>
          <w:p>
            <w:r>
              <w:rPr>
                <w:rFonts w:ascii="Calibri" w:hAnsi="Calibri"/>
                <w:b/>
                <w:color w:val="30A46C"/>
                <w:sz w:val="22"/>
              </w:rPr>
              <w:t>+57.8%</w:t>
            </w:r>
          </w:p>
        </w:tc>
        <w:tc>
          <w:tcPr>
            <w:tcW w:type="dxa" w:w="1728"/>
          </w:tcPr>
          <w:p>
            <w:r>
              <w:rPr>
                <w:rFonts w:ascii="Calibri" w:hAnsi="Calibri"/>
                <w:sz w:val="22"/>
              </w:rPr>
              <w:t>EV/EBITDA: 24.6x → 26.1x</w:t>
            </w:r>
          </w:p>
        </w:tc>
        <w:tc>
          <w:tcPr>
            <w:tcW w:type="dxa" w:w="1728"/>
          </w:tcPr>
          <w:p>
            <w:r>
              <w:rPr>
                <w:rFonts w:ascii="Calibri" w:hAnsi="Calibri"/>
                <w:sz w:val="22"/>
              </w:rPr>
              <w:t>+5.9%</w:t>
            </w:r>
          </w:p>
        </w:tc>
        <w:tc>
          <w:tcPr>
            <w:tcW w:type="dxa" w:w="1728"/>
          </w:tcPr>
          <w:p>
            <w:r>
              <w:rPr>
                <w:rFonts w:ascii="Calibri" w:hAnsi="Calibri"/>
                <w:sz w:val="22"/>
              </w:rPr>
              <w:t>Both earnings growth and multiple expansion drove returns</w:t>
            </w:r>
          </w:p>
        </w:tc>
      </w:tr>
      <w:tr>
        <w:tc>
          <w:tcPr>
            <w:tcW w:type="dxa" w:w="1728"/>
          </w:tcPr>
          <w:p>
            <w:r>
              <w:rPr>
                <w:rFonts w:ascii="Calibri" w:hAnsi="Calibri"/>
                <w:sz w:val="22"/>
              </w:rPr>
              <w:t>12 Months</w:t>
            </w:r>
          </w:p>
        </w:tc>
        <w:tc>
          <w:tcPr>
            <w:tcW w:type="dxa" w:w="1728"/>
          </w:tcPr>
          <w:p>
            <w:r>
              <w:rPr>
                <w:rFonts w:ascii="Calibri" w:hAnsi="Calibri"/>
                <w:b/>
                <w:color w:val="30A46C"/>
                <w:sz w:val="22"/>
              </w:rPr>
              <w:t>+228.7%</w:t>
            </w:r>
          </w:p>
        </w:tc>
        <w:tc>
          <w:tcPr>
            <w:tcW w:type="dxa" w:w="1728"/>
          </w:tcPr>
          <w:p>
            <w:r>
              <w:rPr>
                <w:rFonts w:ascii="Calibri" w:hAnsi="Calibri"/>
                <w:sz w:val="22"/>
              </w:rPr>
              <w:t>EV/EBITDA: 18.1x → 26.1x</w:t>
            </w:r>
          </w:p>
        </w:tc>
        <w:tc>
          <w:tcPr>
            <w:tcW w:type="dxa" w:w="1728"/>
          </w:tcPr>
          <w:p>
            <w:r>
              <w:rPr>
                <w:rFonts w:ascii="Calibri" w:hAnsi="Calibri"/>
                <w:sz w:val="22"/>
              </w:rPr>
              <w:t>+43.8%</w:t>
            </w:r>
          </w:p>
        </w:tc>
        <w:tc>
          <w:tcPr>
            <w:tcW w:type="dxa" w:w="1728"/>
          </w:tcPr>
          <w:p>
            <w:r>
              <w:rPr>
                <w:rFonts w:ascii="Calibri" w:hAnsi="Calibri"/>
                <w:sz w:val="22"/>
              </w:rPr>
              <w:t>Massive re-rating + earnings growth; AI/data center supercycle re-priced the stock</w:t>
            </w:r>
          </w:p>
        </w:tc>
      </w:tr>
    </w:tbl>
    <w:p>
      <w:r>
        <w:rPr>
          <w:rFonts w:ascii="Calibri" w:hAnsi="Calibri"/>
          <w:b/>
          <w:color w:val="525866"/>
          <w:sz w:val="22"/>
        </w:rPr>
        <w:t xml:space="preserve">Current NTM Multiples (as of July 22, 2026): </w:t>
      </w:r>
      <w:r>
        <w:rPr>
          <w:rFonts w:ascii="Calibri" w:hAnsi="Calibri"/>
          <w:color w:val="525866"/>
          <w:sz w:val="22"/>
        </w:rPr>
        <w:t>EV/EBITDA 26.1x | P/E 37.2x | EV/Sales 4.7x | P/FCF 42.2x. The 1-month pullback of ~13% is almost entirely multiple compression, not earnings deterioration — a pattern consistent with profit-taking after the Q1 blowout rather than a fundamental re-assessment.</w:t>
      </w:r>
    </w:p>
    <w:p>
      <w:r>
        <w:rPr>
          <w:rFonts w:ascii="Calibri" w:hAnsi="Calibri"/>
          <w:b/>
          <w:color w:val="525866"/>
          <w:sz w:val="22"/>
        </w:rPr>
        <w:t xml:space="preserve">Source: </w:t>
      </w:r>
      <w:r>
        <w:rPr>
          <w:rFonts w:ascii="Calibri" w:hAnsi="Calibri"/>
          <w:color w:val="525866"/>
          <w:sz w:val="22"/>
        </w:rPr>
        <w:t>Stock Price Data (Yahoo Finance); Stock Performance Decomposition (Implied Analytics).</w:t>
      </w:r>
    </w:p>
    <w:p>
      <w:pPr>
        <w:pStyle w:val="Heading2"/>
      </w:pPr>
      <w:r>
        <w:rPr>
          <w:rFonts w:ascii="Calibri" w:hAnsi="Calibri"/>
          <w:b/>
          <w:color w:val="3B4259"/>
          <w:sz w:val="28"/>
        </w:rPr>
        <w:t>Selected Price Levels: FIX vs. PAVE vs. SPY (Indexed to 100 at Apr 23, 2026 Close)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Date</w:t>
            </w:r>
          </w:p>
        </w:tc>
        <w:tc>
          <w:tcPr>
            <w:tcW w:type="dxa" w:w="1728"/>
            <w:shd w:val="clear" w:color="auto" w:fill="3B4259"/>
          </w:tcPr>
          <w:p>
            <w:r>
              <w:rPr>
                <w:rFonts w:ascii="Calibri" w:hAnsi="Calibri"/>
                <w:b/>
                <w:color w:val="FFFFFF"/>
                <w:sz w:val="22"/>
              </w:rPr>
              <w:t>FIX (Indexed)</w:t>
            </w:r>
          </w:p>
        </w:tc>
        <w:tc>
          <w:tcPr>
            <w:tcW w:type="dxa" w:w="1728"/>
            <w:shd w:val="clear" w:color="auto" w:fill="3B4259"/>
          </w:tcPr>
          <w:p>
            <w:r>
              <w:rPr>
                <w:rFonts w:ascii="Calibri" w:hAnsi="Calibri"/>
                <w:b/>
                <w:color w:val="FFFFFF"/>
                <w:sz w:val="22"/>
              </w:rPr>
              <w:t>PAVE (Indexed)</w:t>
            </w:r>
          </w:p>
        </w:tc>
        <w:tc>
          <w:tcPr>
            <w:tcW w:type="dxa" w:w="1728"/>
            <w:shd w:val="clear" w:color="auto" w:fill="3B4259"/>
          </w:tcPr>
          <w:p>
            <w:r>
              <w:rPr>
                <w:rFonts w:ascii="Calibri" w:hAnsi="Calibri"/>
                <w:b/>
                <w:color w:val="FFFFFF"/>
                <w:sz w:val="22"/>
              </w:rPr>
              <w:t>SPY (Indexed)</w:t>
            </w:r>
          </w:p>
        </w:tc>
        <w:tc>
          <w:tcPr>
            <w:tcW w:type="dxa" w:w="1728"/>
            <w:shd w:val="clear" w:color="auto" w:fill="3B4259"/>
          </w:tcPr>
          <w:p>
            <w:r>
              <w:rPr>
                <w:rFonts w:ascii="Calibri" w:hAnsi="Calibri"/>
                <w:b/>
                <w:color w:val="FFFFFF"/>
                <w:sz w:val="22"/>
              </w:rPr>
              <w:t>Event</w:t>
            </w:r>
          </w:p>
        </w:tc>
      </w:tr>
      <w:tr>
        <w:tc>
          <w:tcPr>
            <w:tcW w:type="dxa" w:w="1728"/>
          </w:tcPr>
          <w:p>
            <w:r>
              <w:rPr>
                <w:rFonts w:ascii="Calibri" w:hAnsi="Calibri"/>
                <w:sz w:val="22"/>
              </w:rPr>
              <w:t>Apr 23, 2026</w:t>
            </w:r>
          </w:p>
        </w:tc>
        <w:tc>
          <w:tcPr>
            <w:tcW w:type="dxa" w:w="1728"/>
          </w:tcPr>
          <w:p>
            <w:r>
              <w:rPr>
                <w:rFonts w:ascii="Calibri" w:hAnsi="Calibri"/>
                <w:sz w:val="22"/>
              </w:rPr>
              <w:t>100.0</w:t>
            </w:r>
          </w:p>
        </w:tc>
        <w:tc>
          <w:tcPr>
            <w:tcW w:type="dxa" w:w="1728"/>
          </w:tcPr>
          <w:p>
            <w:r>
              <w:rPr>
                <w:rFonts w:ascii="Calibri" w:hAnsi="Calibri"/>
                <w:sz w:val="22"/>
              </w:rPr>
              <w:t>100.0</w:t>
            </w:r>
          </w:p>
        </w:tc>
        <w:tc>
          <w:tcPr>
            <w:tcW w:type="dxa" w:w="1728"/>
          </w:tcPr>
          <w:p>
            <w:r>
              <w:rPr>
                <w:rFonts w:ascii="Calibri" w:hAnsi="Calibri"/>
                <w:sz w:val="22"/>
              </w:rPr>
              <w:t>100.0</w:t>
            </w:r>
          </w:p>
        </w:tc>
        <w:tc>
          <w:tcPr>
            <w:tcW w:type="dxa" w:w="1728"/>
          </w:tcPr>
          <w:p>
            <w:r>
              <w:rPr>
                <w:rFonts w:ascii="Calibri" w:hAnsi="Calibri"/>
                <w:sz w:val="22"/>
              </w:rPr>
              <w:t>Q1 2026 Earnings Release (base)</w:t>
            </w:r>
          </w:p>
        </w:tc>
      </w:tr>
      <w:tr>
        <w:tc>
          <w:tcPr>
            <w:tcW w:type="dxa" w:w="1728"/>
          </w:tcPr>
          <w:p>
            <w:r>
              <w:rPr>
                <w:rFonts w:ascii="Calibri" w:hAnsi="Calibri"/>
                <w:sz w:val="22"/>
              </w:rPr>
              <w:t>Apr 24, 2026</w:t>
            </w:r>
          </w:p>
        </w:tc>
        <w:tc>
          <w:tcPr>
            <w:tcW w:type="dxa" w:w="1728"/>
          </w:tcPr>
          <w:p>
            <w:r>
              <w:rPr>
                <w:rFonts w:ascii="Calibri" w:hAnsi="Calibri"/>
                <w:sz w:val="22"/>
              </w:rPr>
              <w:t>97.3</w:t>
            </w:r>
          </w:p>
        </w:tc>
        <w:tc>
          <w:tcPr>
            <w:tcW w:type="dxa" w:w="1728"/>
          </w:tcPr>
          <w:p>
            <w:r>
              <w:rPr>
                <w:rFonts w:ascii="Calibri" w:hAnsi="Calibri"/>
                <w:sz w:val="22"/>
              </w:rPr>
              <w:t>99.6</w:t>
            </w:r>
          </w:p>
        </w:tc>
        <w:tc>
          <w:tcPr>
            <w:tcW w:type="dxa" w:w="1728"/>
          </w:tcPr>
          <w:p>
            <w:r>
              <w:rPr>
                <w:rFonts w:ascii="Calibri" w:hAnsi="Calibri"/>
                <w:sz w:val="22"/>
              </w:rPr>
              <w:t>100.8</w:t>
            </w:r>
          </w:p>
        </w:tc>
        <w:tc>
          <w:tcPr>
            <w:tcW w:type="dxa" w:w="1728"/>
          </w:tcPr>
          <w:p>
            <w:r>
              <w:rPr>
                <w:rFonts w:ascii="Calibri" w:hAnsi="Calibri"/>
                <w:sz w:val="22"/>
              </w:rPr>
              <w:t>Q1 2026 Earnings Call</w:t>
            </w:r>
          </w:p>
        </w:tc>
      </w:tr>
      <w:tr>
        <w:tc>
          <w:tcPr>
            <w:tcW w:type="dxa" w:w="1728"/>
          </w:tcPr>
          <w:p>
            <w:r>
              <w:rPr>
                <w:rFonts w:ascii="Calibri" w:hAnsi="Calibri"/>
                <w:sz w:val="22"/>
              </w:rPr>
              <w:t>Apr 30, 2026</w:t>
            </w:r>
          </w:p>
        </w:tc>
        <w:tc>
          <w:tcPr>
            <w:tcW w:type="dxa" w:w="1728"/>
          </w:tcPr>
          <w:p>
            <w:r>
              <w:rPr>
                <w:rFonts w:ascii="Calibri" w:hAnsi="Calibri"/>
                <w:sz w:val="22"/>
              </w:rPr>
              <w:t>103.7</w:t>
            </w:r>
          </w:p>
        </w:tc>
        <w:tc>
          <w:tcPr>
            <w:tcW w:type="dxa" w:w="1728"/>
          </w:tcPr>
          <w:p>
            <w:r>
              <w:rPr>
                <w:rFonts w:ascii="Calibri" w:hAnsi="Calibri"/>
                <w:sz w:val="22"/>
              </w:rPr>
              <w:t>100.8</w:t>
            </w:r>
          </w:p>
        </w:tc>
        <w:tc>
          <w:tcPr>
            <w:tcW w:type="dxa" w:w="1728"/>
          </w:tcPr>
          <w:p>
            <w:r>
              <w:rPr>
                <w:rFonts w:ascii="Calibri" w:hAnsi="Calibri"/>
                <w:sz w:val="22"/>
              </w:rPr>
              <w:t>101.4</w:t>
            </w:r>
          </w:p>
        </w:tc>
        <w:tc>
          <w:tcPr>
            <w:tcW w:type="dxa" w:w="1728"/>
          </w:tcPr>
          <w:p>
            <w:r>
              <w:rPr>
                <w:rFonts w:ascii="Calibri" w:hAnsi="Calibri"/>
                <w:sz w:val="22"/>
              </w:rPr>
              <w:t>—</w:t>
            </w:r>
          </w:p>
        </w:tc>
      </w:tr>
      <w:tr>
        <w:tc>
          <w:tcPr>
            <w:tcW w:type="dxa" w:w="1728"/>
          </w:tcPr>
          <w:p>
            <w:r>
              <w:rPr>
                <w:rFonts w:ascii="Calibri" w:hAnsi="Calibri"/>
                <w:sz w:val="22"/>
              </w:rPr>
              <w:t>May 1, 2026</w:t>
            </w:r>
          </w:p>
        </w:tc>
        <w:tc>
          <w:tcPr>
            <w:tcW w:type="dxa" w:w="1728"/>
          </w:tcPr>
          <w:p>
            <w:r>
              <w:rPr>
                <w:rFonts w:ascii="Calibri" w:hAnsi="Calibri"/>
                <w:sz w:val="22"/>
              </w:rPr>
              <w:t>105.2</w:t>
            </w:r>
          </w:p>
        </w:tc>
        <w:tc>
          <w:tcPr>
            <w:tcW w:type="dxa" w:w="1728"/>
          </w:tcPr>
          <w:p>
            <w:r>
              <w:rPr>
                <w:rFonts w:ascii="Calibri" w:hAnsi="Calibri"/>
                <w:sz w:val="22"/>
              </w:rPr>
              <w:t>100.6</w:t>
            </w:r>
          </w:p>
        </w:tc>
        <w:tc>
          <w:tcPr>
            <w:tcW w:type="dxa" w:w="1728"/>
          </w:tcPr>
          <w:p>
            <w:r>
              <w:rPr>
                <w:rFonts w:ascii="Calibri" w:hAnsi="Calibri"/>
                <w:sz w:val="22"/>
              </w:rPr>
              <w:t>101.7</w:t>
            </w:r>
          </w:p>
        </w:tc>
        <w:tc>
          <w:tcPr>
            <w:tcW w:type="dxa" w:w="1728"/>
          </w:tcPr>
          <w:p>
            <w:r>
              <w:rPr>
                <w:rFonts w:ascii="Calibri" w:hAnsi="Calibri"/>
                <w:sz w:val="22"/>
              </w:rPr>
              <w:t>Utah electrical acquisition closes; investor presentation filed</w:t>
            </w:r>
          </w:p>
        </w:tc>
      </w:tr>
      <w:tr>
        <w:tc>
          <w:tcPr>
            <w:tcW w:type="dxa" w:w="1728"/>
          </w:tcPr>
          <w:p>
            <w:r>
              <w:rPr>
                <w:rFonts w:ascii="Calibri" w:hAnsi="Calibri"/>
                <w:sz w:val="22"/>
              </w:rPr>
              <w:t>May 14, 2026</w:t>
            </w:r>
          </w:p>
        </w:tc>
        <w:tc>
          <w:tcPr>
            <w:tcW w:type="dxa" w:w="1728"/>
          </w:tcPr>
          <w:p>
            <w:r>
              <w:rPr>
                <w:rFonts w:ascii="Calibri" w:hAnsi="Calibri"/>
                <w:sz w:val="22"/>
              </w:rPr>
              <w:t>115.1</w:t>
            </w:r>
          </w:p>
        </w:tc>
        <w:tc>
          <w:tcPr>
            <w:tcW w:type="dxa" w:w="1728"/>
          </w:tcPr>
          <w:p>
            <w:r>
              <w:rPr>
                <w:rFonts w:ascii="Calibri" w:hAnsi="Calibri"/>
                <w:sz w:val="22"/>
              </w:rPr>
              <w:t>100.9</w:t>
            </w:r>
          </w:p>
        </w:tc>
        <w:tc>
          <w:tcPr>
            <w:tcW w:type="dxa" w:w="1728"/>
          </w:tcPr>
          <w:p>
            <w:r>
              <w:rPr>
                <w:rFonts w:ascii="Calibri" w:hAnsi="Calibri"/>
                <w:sz w:val="22"/>
              </w:rPr>
              <w:t>105.6</w:t>
            </w:r>
          </w:p>
        </w:tc>
        <w:tc>
          <w:tcPr>
            <w:tcW w:type="dxa" w:w="1728"/>
          </w:tcPr>
          <w:p>
            <w:r>
              <w:rPr>
                <w:rFonts w:ascii="Calibri" w:hAnsi="Calibri"/>
                <w:sz w:val="22"/>
              </w:rPr>
              <w:t>Post-earnings rally peak</w:t>
            </w:r>
          </w:p>
        </w:tc>
      </w:tr>
      <w:tr>
        <w:tc>
          <w:tcPr>
            <w:tcW w:type="dxa" w:w="1728"/>
          </w:tcPr>
          <w:p>
            <w:r>
              <w:rPr>
                <w:rFonts w:ascii="Calibri" w:hAnsi="Calibri"/>
                <w:sz w:val="22"/>
              </w:rPr>
              <w:t>Jun 22, 2026</w:t>
            </w:r>
          </w:p>
        </w:tc>
        <w:tc>
          <w:tcPr>
            <w:tcW w:type="dxa" w:w="1728"/>
          </w:tcPr>
          <w:p>
            <w:r>
              <w:rPr>
                <w:rFonts w:ascii="Calibri" w:hAnsi="Calibri"/>
                <w:sz w:val="22"/>
              </w:rPr>
              <w:t>116.5</w:t>
            </w:r>
          </w:p>
        </w:tc>
        <w:tc>
          <w:tcPr>
            <w:tcW w:type="dxa" w:w="1728"/>
          </w:tcPr>
          <w:p>
            <w:r>
              <w:rPr>
                <w:rFonts w:ascii="Calibri" w:hAnsi="Calibri"/>
                <w:sz w:val="22"/>
              </w:rPr>
              <w:t>105.1</w:t>
            </w:r>
          </w:p>
        </w:tc>
        <w:tc>
          <w:tcPr>
            <w:tcW w:type="dxa" w:w="1728"/>
          </w:tcPr>
          <w:p>
            <w:r>
              <w:rPr>
                <w:rFonts w:ascii="Calibri" w:hAnsi="Calibri"/>
                <w:sz w:val="22"/>
              </w:rPr>
              <w:t>105.0</w:t>
            </w:r>
          </w:p>
        </w:tc>
        <w:tc>
          <w:tcPr>
            <w:tcW w:type="dxa" w:w="1728"/>
          </w:tcPr>
          <w:p>
            <w:r>
              <w:rPr>
                <w:rFonts w:ascii="Calibri" w:hAnsi="Calibri"/>
                <w:sz w:val="22"/>
              </w:rPr>
              <w:t>COO appointment (Craig Sasser) announced</w:t>
            </w:r>
          </w:p>
        </w:tc>
      </w:tr>
      <w:tr>
        <w:tc>
          <w:tcPr>
            <w:tcW w:type="dxa" w:w="1728"/>
          </w:tcPr>
          <w:p>
            <w:r>
              <w:rPr>
                <w:rFonts w:ascii="Calibri" w:hAnsi="Calibri"/>
                <w:sz w:val="22"/>
              </w:rPr>
              <w:t>Jul 17, 2026</w:t>
            </w:r>
          </w:p>
        </w:tc>
        <w:tc>
          <w:tcPr>
            <w:tcW w:type="dxa" w:w="1728"/>
          </w:tcPr>
          <w:p>
            <w:r>
              <w:rPr>
                <w:rFonts w:ascii="Calibri" w:hAnsi="Calibri"/>
                <w:sz w:val="22"/>
              </w:rPr>
              <w:t>94.4</w:t>
            </w:r>
          </w:p>
        </w:tc>
        <w:tc>
          <w:tcPr>
            <w:tcW w:type="dxa" w:w="1728"/>
          </w:tcPr>
          <w:p>
            <w:r>
              <w:rPr>
                <w:rFonts w:ascii="Calibri" w:hAnsi="Calibri"/>
                <w:sz w:val="22"/>
              </w:rPr>
              <w:t>99.9</w:t>
            </w:r>
          </w:p>
        </w:tc>
        <w:tc>
          <w:tcPr>
            <w:tcW w:type="dxa" w:w="1728"/>
          </w:tcPr>
          <w:p>
            <w:r>
              <w:rPr>
                <w:rFonts w:ascii="Calibri" w:hAnsi="Calibri"/>
                <w:sz w:val="22"/>
              </w:rPr>
              <w:t>104.9</w:t>
            </w:r>
          </w:p>
        </w:tc>
        <w:tc>
          <w:tcPr>
            <w:tcW w:type="dxa" w:w="1728"/>
          </w:tcPr>
          <w:p>
            <w:r>
              <w:rPr>
                <w:rFonts w:ascii="Calibri" w:hAnsi="Calibri"/>
                <w:sz w:val="22"/>
              </w:rPr>
              <w:t>Recent trough; FIX underperforms PAVE and SPY</w:t>
            </w:r>
          </w:p>
        </w:tc>
      </w:tr>
      <w:tr>
        <w:tc>
          <w:tcPr>
            <w:tcW w:type="dxa" w:w="1728"/>
          </w:tcPr>
          <w:p>
            <w:r>
              <w:rPr>
                <w:rFonts w:ascii="Calibri" w:hAnsi="Calibri"/>
                <w:sz w:val="22"/>
              </w:rPr>
              <w:t>Jul 23, 2026</w:t>
            </w:r>
          </w:p>
        </w:tc>
        <w:tc>
          <w:tcPr>
            <w:tcW w:type="dxa" w:w="1728"/>
          </w:tcPr>
          <w:p>
            <w:r>
              <w:rPr>
                <w:rFonts w:ascii="Calibri" w:hAnsi="Calibri"/>
                <w:sz w:val="22"/>
              </w:rPr>
              <w:t>101.0</w:t>
            </w:r>
          </w:p>
        </w:tc>
        <w:tc>
          <w:tcPr>
            <w:tcW w:type="dxa" w:w="1728"/>
          </w:tcPr>
          <w:p>
            <w:r>
              <w:rPr>
                <w:rFonts w:ascii="Calibri" w:hAnsi="Calibri"/>
                <w:sz w:val="22"/>
              </w:rPr>
              <w:t>100.4</w:t>
            </w:r>
          </w:p>
        </w:tc>
        <w:tc>
          <w:tcPr>
            <w:tcW w:type="dxa" w:w="1728"/>
          </w:tcPr>
          <w:p>
            <w:r>
              <w:rPr>
                <w:rFonts w:ascii="Calibri" w:hAnsi="Calibri"/>
                <w:sz w:val="22"/>
              </w:rPr>
              <w:t>105.5</w:t>
            </w:r>
          </w:p>
        </w:tc>
        <w:tc>
          <w:tcPr>
            <w:tcW w:type="dxa" w:w="1728"/>
          </w:tcPr>
          <w:p>
            <w:r>
              <w:rPr>
                <w:rFonts w:ascii="Calibri" w:hAnsi="Calibri"/>
                <w:sz w:val="22"/>
              </w:rPr>
              <w:t>Day before Q2 2026 earnings</w:t>
            </w:r>
          </w:p>
        </w:tc>
      </w:tr>
    </w:tbl>
    <w:p>
      <w:r>
        <w:rPr>
          <w:rFonts w:ascii="Calibri" w:hAnsi="Calibri"/>
          <w:b/>
          <w:color w:val="525866"/>
          <w:sz w:val="22"/>
        </w:rPr>
        <w:t xml:space="preserve">Note: </w:t>
      </w:r>
      <w:r>
        <w:rPr>
          <w:rFonts w:ascii="Calibri" w:hAnsi="Calibri"/>
          <w:color w:val="525866"/>
          <w:sz w:val="22"/>
        </w:rPr>
        <w:t>Indexed values computed from Yahoo Finance closing prices. FIX’s post-Q1 rally peaked at ~+15% above the earnings date base before pulling back to roughly flat by the eve of Q2 earnings, while PAVE and SPY have held modest gains. The divergence reflects FIX-specific multiple compression rather than sector or market deterioration.</w:t>
      </w:r>
    </w:p>
    <w:p>
      <w:r>
        <w:br w:type="page"/>
      </w:r>
    </w:p>
    <w:p>
      <w:pPr>
        <w:pStyle w:val="Heading1"/>
        <w:pBdr>
          <w:bottom w:val="single" w:sz="4" w:space="1" w:color="FB9120"/>
        </w:pBdr>
      </w:pPr>
      <w:r>
        <w:rPr>
          <w:rFonts w:ascii="Calibri" w:hAnsi="Calibri"/>
          <w:b/>
          <w:color w:val="3B4259"/>
          <w:sz w:val="40"/>
        </w:rPr>
        <w:t>6. Material News &amp; Developments</w:t>
      </w:r>
    </w:p>
    <w:p>
      <w:r>
        <w:rPr>
          <w:rFonts w:ascii="Calibri" w:hAnsi="Calibri"/>
          <w:b/>
          <w:color w:val="525866"/>
          <w:sz w:val="22"/>
        </w:rPr>
        <w:t xml:space="preserve">Key Takeaway: </w:t>
      </w:r>
      <w:r>
        <w:rPr>
          <w:rFonts w:ascii="Calibri" w:hAnsi="Calibri"/>
          <w:color w:val="525866"/>
          <w:sz w:val="22"/>
        </w:rPr>
        <w:t>The most important development since Q1 earnings is the closing of the Utah electrical acquisition (May 1), which adds ~$250M annualized revenue at 8–10% EBITDA margins and will contribute to Q2 results; the COO appointment signals operational scaling, not disruption.</w:t>
      </w:r>
    </w:p>
    <w:p>
      <w:pPr>
        <w:pStyle w:val="ListBullet"/>
        <w:ind w:left="360" w:hanging="360"/>
      </w:pPr>
      <w:r>
        <w:rPr>
          <w:rFonts w:ascii="Calibri" w:hAnsi="Calibri"/>
          <w:b/>
          <w:color w:val="525866"/>
          <w:sz w:val="22"/>
        </w:rPr>
        <w:t>May 1, 2026 — Utah Electrical Acquisition Closes.</w:t>
      </w:r>
      <w:r>
        <w:rPr>
          <w:rFonts w:ascii="Calibri" w:hAnsi="Calibri"/>
          <w:color w:val="525866"/>
          <w:sz w:val="22"/>
        </w:rPr>
        <w:t xml:space="preserve"> FIX closed the acquisition of a highly skilled electrical contractor in Utah (West region), announced during the Q1 earnings call. Expected to contribute ~$250M annualized revenue at 8–10% EBITDA margins. </w:t>
      </w:r>
      <w:r>
        <w:rPr>
          <w:rFonts w:ascii="Calibri" w:hAnsi="Calibri"/>
          <w:b/>
          <w:color w:val="525866"/>
          <w:sz w:val="22"/>
        </w:rPr>
        <w:t xml:space="preserve">Implication: </w:t>
      </w:r>
      <w:r>
        <w:rPr>
          <w:rFonts w:ascii="Calibri" w:hAnsi="Calibri"/>
          <w:color w:val="525866"/>
          <w:sz w:val="22"/>
        </w:rPr>
        <w:t>Adds inorganic revenue to Q2 2026 results for the full quarter; expands electrical capabilities in a high-growth geography. Source: FIX Q1 2026 Earnings Call Transcript; FIX 8-K (May 1, 2026).</w:t>
      </w:r>
    </w:p>
    <w:p>
      <w:pPr>
        <w:pStyle w:val="ListBullet"/>
        <w:ind w:left="360" w:hanging="360"/>
      </w:pPr>
      <w:r>
        <w:rPr>
          <w:rFonts w:ascii="Calibri" w:hAnsi="Calibri"/>
          <w:b/>
          <w:color w:val="525866"/>
          <w:sz w:val="22"/>
        </w:rPr>
        <w:t>May 1, 2026 — Investor Presentation Filed (8-K).</w:t>
      </w:r>
      <w:r>
        <w:rPr>
          <w:rFonts w:ascii="Calibri" w:hAnsi="Calibri"/>
          <w:color w:val="525866"/>
          <w:sz w:val="22"/>
        </w:rPr>
        <w:t xml:space="preserve"> FIX posted an updated investor presentation including non-GAAP financials, reinforcing the data center and modular growth narrative. </w:t>
      </w:r>
      <w:r>
        <w:rPr>
          <w:rFonts w:ascii="Calibri" w:hAnsi="Calibri"/>
          <w:b/>
          <w:color w:val="525866"/>
          <w:sz w:val="22"/>
        </w:rPr>
        <w:t xml:space="preserve">Implication: </w:t>
      </w:r>
      <w:r>
        <w:rPr>
          <w:rFonts w:ascii="Calibri" w:hAnsi="Calibri"/>
          <w:color w:val="525866"/>
          <w:sz w:val="22"/>
        </w:rPr>
        <w:t>No new guidance; confirms management’s confidence in the multi-year growth thesis. Source: FIX 8-K (May 1, 2026).</w:t>
      </w:r>
    </w:p>
    <w:p>
      <w:pPr>
        <w:pStyle w:val="ListBullet"/>
        <w:ind w:left="360" w:hanging="360"/>
      </w:pPr>
      <w:r>
        <w:rPr>
          <w:rFonts w:ascii="Calibri" w:hAnsi="Calibri"/>
          <w:b/>
          <w:color w:val="525866"/>
          <w:sz w:val="22"/>
        </w:rPr>
        <w:t>June 22, 2026 — Craig Sasser Named Chief Operating Officer (Effective July 1).</w:t>
      </w:r>
      <w:r>
        <w:rPr>
          <w:rFonts w:ascii="Calibri" w:hAnsi="Calibri"/>
          <w:color w:val="525866"/>
          <w:sz w:val="22"/>
        </w:rPr>
        <w:t xml:space="preserve"> Sasser transitions from Regional VP – Atlantic Region to COO; 34+ years MEP industry experience. Annual base salary $600K, 90% target bonus, 200% LTI. </w:t>
      </w:r>
      <w:r>
        <w:rPr>
          <w:rFonts w:ascii="Calibri" w:hAnsi="Calibri"/>
          <w:b/>
          <w:color w:val="525866"/>
          <w:sz w:val="22"/>
        </w:rPr>
        <w:t xml:space="preserve">Implication: </w:t>
      </w:r>
      <w:r>
        <w:rPr>
          <w:rFonts w:ascii="Calibri" w:hAnsi="Calibri"/>
          <w:color w:val="525866"/>
          <w:sz w:val="22"/>
        </w:rPr>
        <w:t>Signals FIX is building out its executive bench to manage accelerating scale; no disruption to Q2 operations as the role is effective July 1. Source: FIX 8-K (June 22, 2026).</w:t>
      </w:r>
    </w:p>
    <w:p>
      <w:pPr>
        <w:pStyle w:val="ListBullet"/>
        <w:ind w:left="360" w:hanging="360"/>
      </w:pPr>
      <w:r>
        <w:rPr>
          <w:rFonts w:ascii="Calibri" w:hAnsi="Calibri"/>
          <w:b/>
          <w:color w:val="525866"/>
          <w:sz w:val="22"/>
        </w:rPr>
        <w:t>Ongoing — AI/Data Center Demand Remains Unprecedented.</w:t>
      </w:r>
      <w:r>
        <w:rPr>
          <w:rFonts w:ascii="Calibri" w:hAnsi="Calibri"/>
          <w:color w:val="525866"/>
          <w:sz w:val="22"/>
        </w:rPr>
        <w:t xml:space="preserve"> Management described demand as “unprecedented” with “more announced build than can feasibly be done.” Technology sector reached 56% of Q1 revenue; modular revenue ~17% of total. </w:t>
      </w:r>
      <w:r>
        <w:rPr>
          <w:rFonts w:ascii="Calibri" w:hAnsi="Calibri"/>
          <w:b/>
          <w:color w:val="525866"/>
          <w:sz w:val="22"/>
        </w:rPr>
        <w:t xml:space="preserve">Implication: </w:t>
      </w:r>
      <w:r>
        <w:rPr>
          <w:rFonts w:ascii="Calibri" w:hAnsi="Calibri"/>
          <w:color w:val="525866"/>
          <w:sz w:val="22"/>
        </w:rPr>
        <w:t>Demand visibility for Q2 and beyond remains extremely high; the binding constraint is skilled labor supply, not customer demand.</w:t>
      </w:r>
    </w:p>
    <w:p>
      <w:pPr>
        <w:pStyle w:val="ListBullet"/>
        <w:ind w:left="360" w:hanging="360"/>
      </w:pPr>
      <w:r>
        <w:rPr>
          <w:rFonts w:ascii="Calibri" w:hAnsi="Calibri"/>
          <w:b/>
          <w:color w:val="525866"/>
          <w:sz w:val="22"/>
        </w:rPr>
        <w:t>Ongoing — Modular Capacity Expansion on Track.</w:t>
      </w:r>
      <w:r>
        <w:rPr>
          <w:rFonts w:ascii="Calibri" w:hAnsi="Calibri"/>
          <w:color w:val="525866"/>
          <w:sz w:val="22"/>
        </w:rPr>
        <w:t xml:space="preserve"> FIX purchased its largest modular building ever in Houston in Q1 2026; on track for 4 million sq ft by end of 2026. All 2026 capacity committed to existing hyperscale customers. </w:t>
      </w:r>
      <w:r>
        <w:rPr>
          <w:rFonts w:ascii="Calibri" w:hAnsi="Calibri"/>
          <w:b/>
          <w:color w:val="525866"/>
          <w:sz w:val="22"/>
        </w:rPr>
        <w:t xml:space="preserve">Implication: </w:t>
      </w:r>
      <w:r>
        <w:rPr>
          <w:rFonts w:ascii="Calibri" w:hAnsi="Calibri"/>
          <w:color w:val="525866"/>
          <w:sz w:val="22"/>
        </w:rPr>
        <w:t>Elevated CapEx (~5% of revenue) will weigh on near-term FCF but supports multi-year revenue visibility.</w:t>
      </w:r>
    </w:p>
    <w:p>
      <w:pPr>
        <w:pStyle w:val="ListBullet"/>
        <w:ind w:left="360" w:hanging="360"/>
      </w:pPr>
      <w:r>
        <w:rPr>
          <w:rFonts w:ascii="Calibri" w:hAnsi="Calibri"/>
          <w:b/>
          <w:color w:val="525866"/>
          <w:sz w:val="22"/>
        </w:rPr>
        <w:t>Ongoing — Tariff/Macro Resilience.</w:t>
      </w:r>
      <w:r>
        <w:rPr>
          <w:rFonts w:ascii="Calibri" w:hAnsi="Calibri"/>
          <w:color w:val="525866"/>
          <w:sz w:val="22"/>
        </w:rPr>
        <w:t xml:space="preserve"> Management highlighted scale advantages, supplier relationships, early material release commitments, and contractual protections as mitigants to tariff risk on long-duration backlog. </w:t>
      </w:r>
      <w:r>
        <w:rPr>
          <w:rFonts w:ascii="Calibri" w:hAnsi="Calibri"/>
          <w:b/>
          <w:color w:val="525866"/>
          <w:sz w:val="22"/>
        </w:rPr>
        <w:t xml:space="preserve">Implication: </w:t>
      </w:r>
      <w:r>
        <w:rPr>
          <w:rFonts w:ascii="Calibri" w:hAnsi="Calibri"/>
          <w:color w:val="525866"/>
          <w:sz w:val="22"/>
        </w:rPr>
        <w:t>Margin risk from tariffs appears manageable given contractual structures; no pre-announcement of cost headwinds.</w:t>
      </w:r>
    </w:p>
    <w:p>
      <w:pPr>
        <w:pStyle w:val="ListBullet"/>
        <w:ind w:left="360" w:hanging="360"/>
      </w:pPr>
      <w:r>
        <w:rPr>
          <w:rFonts w:ascii="Calibri" w:hAnsi="Calibri"/>
          <w:b/>
          <w:color w:val="525866"/>
          <w:sz w:val="22"/>
        </w:rPr>
        <w:t>July 22, 2026 — United Rentals (URI) Reports Strong Q2 2026.</w:t>
      </w:r>
      <w:r>
        <w:rPr>
          <w:rFonts w:ascii="Calibri" w:hAnsi="Calibri"/>
          <w:color w:val="525866"/>
          <w:sz w:val="22"/>
        </w:rPr>
        <w:t xml:space="preserve"> URI reported Q2 sales of $4.41B (vs. $4.21B consensus) and raised full-year EBITDA guidance to $7.975–8.125B. Management cited customers remaining optimistic about large projects. </w:t>
      </w:r>
      <w:r>
        <w:rPr>
          <w:rFonts w:ascii="Calibri" w:hAnsi="Calibri"/>
          <w:b/>
          <w:color w:val="525866"/>
          <w:sz w:val="22"/>
        </w:rPr>
        <w:t xml:space="preserve">Implication: </w:t>
      </w:r>
      <w:r>
        <w:rPr>
          <w:rFonts w:ascii="Calibri" w:hAnsi="Calibri"/>
          <w:color w:val="525866"/>
          <w:sz w:val="22"/>
        </w:rPr>
        <w:t>Positive read-through for non-residential construction activity; large project optimism is consistent with FIX’s data center and advanced manufacturing end markets.</w:t>
      </w:r>
    </w:p>
    <w:p>
      <w:r>
        <w:br w:type="page"/>
      </w:r>
    </w:p>
    <w:p>
      <w:pPr>
        <w:pStyle w:val="Heading1"/>
        <w:pBdr>
          <w:bottom w:val="single" w:sz="4" w:space="1" w:color="FB9120"/>
        </w:pBdr>
      </w:pPr>
      <w:r>
        <w:rPr>
          <w:rFonts w:ascii="Calibri" w:hAnsi="Calibri"/>
          <w:b/>
          <w:color w:val="3B4259"/>
          <w:sz w:val="40"/>
        </w:rPr>
        <w:t>7. Peer Commentaries — Current-Quarter Read-Throughs Only</w:t>
      </w:r>
    </w:p>
    <w:p>
      <w:r>
        <w:rPr>
          <w:rFonts w:ascii="Calibri" w:hAnsi="Calibri"/>
          <w:b/>
          <w:color w:val="525866"/>
          <w:sz w:val="22"/>
        </w:rPr>
        <w:t xml:space="preserve">Key Takeaway: </w:t>
      </w:r>
      <w:r>
        <w:rPr>
          <w:rFonts w:ascii="Calibri" w:hAnsi="Calibri"/>
          <w:color w:val="525866"/>
          <w:sz w:val="22"/>
        </w:rPr>
        <w:t>Peer commentary from the last 60 days is uniformly constructive for FIX’s Q2 2026 setup: Dycom’s Building Systems segment is accelerating into data centers with record backlog and high-teens EBITDA margins; Acuity Brands sees firming non-residential demand and data center hyper-growth; United Rentals’ Q2 beat and guidance raise confirm large-project optimism; all three validate FIX’s core demand thesis.</w:t>
      </w:r>
    </w:p>
    <w:p>
      <w:r>
        <w:rPr>
          <w:rFonts w:ascii="Calibri" w:hAnsi="Calibri"/>
          <w:b/>
          <w:color w:val="525866"/>
          <w:sz w:val="22"/>
        </w:rPr>
        <w:t xml:space="preserve">Note on Methodology: </w:t>
      </w:r>
      <w:r>
        <w:rPr>
          <w:rFonts w:ascii="Calibri" w:hAnsi="Calibri"/>
          <w:color w:val="525866"/>
          <w:sz w:val="22"/>
        </w:rPr>
        <w:t>Only commentary from the last 60 days (May 22 – July 22, 2026) that addresses peers’ forward/current unreported periods or current-quarter conditions is included. Prior-quarter results commentary without forward relevance is excluded.</w:t>
      </w:r>
    </w:p>
    <w:p>
      <w:pPr>
        <w:pStyle w:val="Heading2"/>
      </w:pPr>
      <w:r>
        <w:rPr>
          <w:rFonts w:ascii="Calibri" w:hAnsi="Calibri"/>
          <w:b/>
          <w:color w:val="3B4259"/>
          <w:sz w:val="28"/>
        </w:rPr>
        <w:t>Dycom Industries (DY) — Q1 FY2027 Earnings Call, May 27, 2026</w:t>
      </w:r>
    </w:p>
    <w:p>
      <w:r>
        <w:rPr>
          <w:rFonts w:ascii="Calibri" w:hAnsi="Calibri"/>
          <w:b/>
          <w:color w:val="525866"/>
          <w:sz w:val="22"/>
        </w:rPr>
        <w:t xml:space="preserve">Relevance: </w:t>
      </w:r>
      <w:r>
        <w:rPr>
          <w:rFonts w:ascii="Calibri" w:hAnsi="Calibri"/>
          <w:color w:val="525866"/>
          <w:sz w:val="22"/>
        </w:rPr>
        <w:t>Dycom’s Building Systems segment (data center electrical and inside-plant work) is FIX’s most direct peer in the data center construction market. DY’s commentary on Q2 FY2027 guidance and full-year FY2027 outlook is forward-looking and directly relevant to FIX’s Q2 2026 operating environment.</w:t>
      </w:r>
    </w:p>
    <w:p>
      <w:pPr>
        <w:pStyle w:val="ListBullet"/>
        <w:ind w:left="360" w:hanging="360"/>
      </w:pPr>
      <w:r>
        <w:rPr>
          <w:rFonts w:ascii="Calibri" w:hAnsi="Calibri"/>
          <w:b/>
          <w:color w:val="525866"/>
          <w:sz w:val="22"/>
        </w:rPr>
        <w:t>Data center demand “has not abated whatsoever — in fact, it’s only increasing.”</w:t>
      </w:r>
      <w:r>
        <w:rPr>
          <w:rFonts w:ascii="Calibri" w:hAnsi="Calibri"/>
          <w:color w:val="525866"/>
          <w:sz w:val="22"/>
        </w:rPr>
        <w:t xml:space="preserve"> Dycom’s Building Systems segment (Power Solutions) delivered $395M revenue at 17.7% adjusted EBITDA margin in Q1 FY2027, and the company guided Building Systems to maintain high-teens EBITDA margins for the full year. </w:t>
      </w:r>
      <w:r>
        <w:rPr>
          <w:rFonts w:ascii="Calibri" w:hAnsi="Calibri"/>
          <w:b/>
          <w:color w:val="525866"/>
          <w:sz w:val="22"/>
        </w:rPr>
        <w:t xml:space="preserve">FIX Read-Through: </w:t>
      </w:r>
      <w:r>
        <w:rPr>
          <w:rFonts w:ascii="Calibri" w:hAnsi="Calibri"/>
          <w:color w:val="525866"/>
          <w:sz w:val="22"/>
        </w:rPr>
        <w:t>Validates FIX’s data center demand thesis and margin sustainability at high-teens to mid-twenties gross margin levels. Source: DY Q1 FY2027 Earnings Call (May 27, 2026).</w:t>
      </w:r>
    </w:p>
    <w:p>
      <w:pPr>
        <w:pStyle w:val="ListBullet"/>
        <w:ind w:left="360" w:hanging="360"/>
      </w:pPr>
      <w:r>
        <w:rPr>
          <w:rFonts w:ascii="Calibri" w:hAnsi="Calibri"/>
          <w:b/>
          <w:color w:val="525866"/>
          <w:sz w:val="22"/>
        </w:rPr>
        <w:t>Record backlog of $11.9B with 2.2x book-to-bill; Building Systems “shadow backlog” is “multiples” of reported backlog.</w:t>
      </w:r>
      <w:r>
        <w:rPr>
          <w:rFonts w:ascii="Calibri" w:hAnsi="Calibri"/>
          <w:color w:val="525866"/>
          <w:sz w:val="22"/>
        </w:rPr>
        <w:t xml:space="preserve"> Dycom noted customers are extending contract durations to secure skilled labor, providing multi-year revenue visibility. </w:t>
      </w:r>
      <w:r>
        <w:rPr>
          <w:rFonts w:ascii="Calibri" w:hAnsi="Calibri"/>
          <w:b/>
          <w:color w:val="525866"/>
          <w:sz w:val="22"/>
        </w:rPr>
        <w:t xml:space="preserve">FIX Read-Through: </w:t>
      </w:r>
      <w:r>
        <w:rPr>
          <w:rFonts w:ascii="Calibri" w:hAnsi="Calibri"/>
          <w:color w:val="525866"/>
          <w:sz w:val="22"/>
        </w:rPr>
        <w:t>Consistent with FIX’s own record $12.5B backlog and management’s comment that supply (labor), not demand, is the binding constraint. Source: DY Q1 FY2027 Earnings Call (May 27, 2026).</w:t>
      </w:r>
    </w:p>
    <w:p>
      <w:pPr>
        <w:pStyle w:val="ListBullet"/>
        <w:ind w:left="360" w:hanging="360"/>
      </w:pPr>
      <w:r>
        <w:rPr>
          <w:rFonts w:ascii="Calibri" w:hAnsi="Calibri"/>
          <w:b/>
          <w:color w:val="525866"/>
          <w:sz w:val="22"/>
        </w:rPr>
        <w:t>Building Systems guided to 30%+ revenue growth for FY2027 (doubling its historical 15% CAGR).</w:t>
      </w:r>
      <w:r>
        <w:rPr>
          <w:rFonts w:ascii="Calibri" w:hAnsi="Calibri"/>
          <w:color w:val="525866"/>
          <w:sz w:val="22"/>
        </w:rPr>
        <w:t xml:space="preserve"> Dycom raised full-year FY2027 revenue guidance to $7.38–7.65B (midpoint +38% total, +14% organic). Q2 FY2027 guidance: $1.94–2.01B revenue, $4.40–4.82 adjusted diluted EPS. </w:t>
      </w:r>
      <w:r>
        <w:rPr>
          <w:rFonts w:ascii="Calibri" w:hAnsi="Calibri"/>
          <w:b/>
          <w:color w:val="525866"/>
          <w:sz w:val="22"/>
        </w:rPr>
        <w:t xml:space="preserve">FIX Read-Through: </w:t>
      </w:r>
      <w:r>
        <w:rPr>
          <w:rFonts w:ascii="Calibri" w:hAnsi="Calibri"/>
          <w:color w:val="525866"/>
          <w:sz w:val="22"/>
        </w:rPr>
        <w:t>Accelerating growth in the data center electrical/mechanical market supports FIX’s mid-to-high-twenties same-store revenue growth guidance for FY2026. Source: DY Q1 FY2027 Earnings Call (May 27, 2026).</w:t>
      </w:r>
    </w:p>
    <w:p>
      <w:pPr>
        <w:pStyle w:val="ListBullet"/>
        <w:ind w:left="360" w:hanging="360"/>
      </w:pPr>
      <w:r>
        <w:rPr>
          <w:rFonts w:ascii="Calibri" w:hAnsi="Calibri"/>
          <w:b/>
          <w:color w:val="525866"/>
          <w:sz w:val="22"/>
        </w:rPr>
        <w:t>NTI acquisition targets data center inside-plant cabling; “work marries incredibly well with inside-plant electrical work as these trades are highly coordinated and in high demand.”</w:t>
      </w:r>
      <w:r>
        <w:rPr>
          <w:rFonts w:ascii="Calibri" w:hAnsi="Calibri"/>
          <w:color w:val="525866"/>
          <w:sz w:val="22"/>
        </w:rPr>
        <w:t xml:space="preserve"> NTI contributes ~$175M annualized revenue at mid-to-high-teens EBITDA margins. </w:t>
      </w:r>
      <w:r>
        <w:rPr>
          <w:rFonts w:ascii="Calibri" w:hAnsi="Calibri"/>
          <w:b/>
          <w:color w:val="525866"/>
          <w:sz w:val="22"/>
        </w:rPr>
        <w:t xml:space="preserve">FIX Read-Through: </w:t>
      </w:r>
      <w:r>
        <w:rPr>
          <w:rFonts w:ascii="Calibri" w:hAnsi="Calibri"/>
          <w:color w:val="525866"/>
          <w:sz w:val="22"/>
        </w:rPr>
        <w:t>Competitive signal — Dycom is expanding into FIX’s data center electrical territory; however, the commentary confirms the market is large enough to support multiple scaled players. Source: DY Q1 FY2027 Earnings Call (May 27, 2026).</w:t>
      </w:r>
    </w:p>
    <w:p>
      <w:pPr>
        <w:pStyle w:val="ListBullet"/>
        <w:ind w:left="360" w:hanging="360"/>
      </w:pPr>
      <w:r>
        <w:rPr>
          <w:rFonts w:ascii="Calibri" w:hAnsi="Calibri"/>
          <w:b/>
          <w:color w:val="525866"/>
          <w:sz w:val="22"/>
        </w:rPr>
        <w:t>Fuel costs “obviously been an impact” but mitigated by fleet changes and Building Systems’ lower fuel intensity.</w:t>
      </w:r>
      <w:r>
        <w:rPr>
          <w:rFonts w:ascii="Calibri" w:hAnsi="Calibri"/>
          <w:color w:val="525866"/>
          <w:sz w:val="22"/>
        </w:rPr>
        <w:t xml:space="preserve"> Dycom noted it is “very thoughtful” in structuring 3–4 year contracts to protect against cost inflation. </w:t>
      </w:r>
      <w:r>
        <w:rPr>
          <w:rFonts w:ascii="Calibri" w:hAnsi="Calibri"/>
          <w:b/>
          <w:color w:val="525866"/>
          <w:sz w:val="22"/>
        </w:rPr>
        <w:t xml:space="preserve">FIX Read-Through: </w:t>
      </w:r>
      <w:r>
        <w:rPr>
          <w:rFonts w:ascii="Calibri" w:hAnsi="Calibri"/>
          <w:color w:val="525866"/>
          <w:sz w:val="22"/>
        </w:rPr>
        <w:t>Consistent with FIX’s own contractual protections and early material release commitments; margin risk from input cost inflation appears manageable for both companies. Source: DY Q1 FY2027 Earnings Call (May 27, 2026).</w:t>
      </w:r>
    </w:p>
    <w:p>
      <w:pPr>
        <w:pStyle w:val="Heading2"/>
      </w:pPr>
      <w:r>
        <w:rPr>
          <w:rFonts w:ascii="Calibri" w:hAnsi="Calibri"/>
          <w:b/>
          <w:color w:val="3B4259"/>
          <w:sz w:val="28"/>
        </w:rPr>
        <w:t>Acuity Brands (AYI) — Q3 FY2026 Earnings Call, June 25, 2026</w:t>
      </w:r>
    </w:p>
    <w:p>
      <w:r>
        <w:rPr>
          <w:rFonts w:ascii="Calibri" w:hAnsi="Calibri"/>
          <w:b/>
          <w:color w:val="525866"/>
          <w:sz w:val="22"/>
        </w:rPr>
        <w:t xml:space="preserve">Relevance: </w:t>
      </w:r>
      <w:r>
        <w:rPr>
          <w:rFonts w:ascii="Calibri" w:hAnsi="Calibri"/>
          <w:color w:val="525866"/>
          <w:sz w:val="22"/>
        </w:rPr>
        <w:t>Acuity Brands is a supplier to the non-residential construction market (lighting, controls, data center cooling systems) and a direct customer of electrical/mechanical contractors like FIX. AYI’s Q3 FY2026 commentary (quarter ended May 31, 2026) addresses current and forward demand conditions directly relevant to FIX’s Q2 2026 operating environment.</w:t>
      </w:r>
    </w:p>
    <w:p>
      <w:pPr>
        <w:pStyle w:val="ListBullet"/>
        <w:ind w:left="360" w:hanging="360"/>
      </w:pPr>
      <w:r>
        <w:rPr>
          <w:rFonts w:ascii="Calibri" w:hAnsi="Calibri"/>
          <w:b/>
          <w:color w:val="525866"/>
          <w:sz w:val="22"/>
        </w:rPr>
        <w:t>Non-residential construction demand is “firming” with “more normal project activity and more normal conversion rates.”</w:t>
      </w:r>
      <w:r>
        <w:rPr>
          <w:rFonts w:ascii="Calibri" w:hAnsi="Calibri"/>
          <w:color w:val="525866"/>
          <w:sz w:val="22"/>
        </w:rPr>
        <w:t xml:space="preserve"> AYI’s proprietary models show “firming of demand for the next 12 months” without a “dramatic increase” but with clear stabilization. The prior government shutdown had “clogged up the works” and is now clearing. </w:t>
      </w:r>
      <w:r>
        <w:rPr>
          <w:rFonts w:ascii="Calibri" w:hAnsi="Calibri"/>
          <w:b/>
          <w:color w:val="525866"/>
          <w:sz w:val="22"/>
        </w:rPr>
        <w:t xml:space="preserve">FIX Read-Through: </w:t>
      </w:r>
      <w:r>
        <w:rPr>
          <w:rFonts w:ascii="Calibri" w:hAnsi="Calibri"/>
          <w:color w:val="525866"/>
          <w:sz w:val="22"/>
        </w:rPr>
        <w:t>Firming non-residential demand supports FIX’s institutional and commercial project pipeline; clearing of government-related delays could accelerate project starts in Q2 and H2 2026. Source: AYI Q3 FY2026 Earnings Call (June 25, 2026).</w:t>
      </w:r>
    </w:p>
    <w:p>
      <w:pPr>
        <w:pStyle w:val="ListBullet"/>
        <w:ind w:left="360" w:hanging="360"/>
      </w:pPr>
      <w:r>
        <w:rPr>
          <w:rFonts w:ascii="Calibri" w:hAnsi="Calibri"/>
          <w:b/>
          <w:color w:val="525866"/>
          <w:sz w:val="22"/>
        </w:rPr>
        <w:t>Data center exposure growing rapidly: “hyper growth in lighting in data centers”; AYI now dealing “directly with contractors who are building for the hyperscalers.”</w:t>
      </w:r>
      <w:r>
        <w:rPr>
          <w:rFonts w:ascii="Calibri" w:hAnsi="Calibri"/>
          <w:color w:val="525866"/>
          <w:sz w:val="22"/>
        </w:rPr>
        <w:t xml:space="preserve"> AYI launched Eclipse Resilience (PLC for mission-critical data center cooling) and expanded from DDC to PLC controllers, positioning for “several of the hyperscalers.” </w:t>
      </w:r>
      <w:r>
        <w:rPr>
          <w:rFonts w:ascii="Calibri" w:hAnsi="Calibri"/>
          <w:b/>
          <w:color w:val="525866"/>
          <w:sz w:val="22"/>
        </w:rPr>
        <w:t xml:space="preserve">FIX Read-Through: </w:t>
      </w:r>
      <w:r>
        <w:rPr>
          <w:rFonts w:ascii="Calibri" w:hAnsi="Calibri"/>
          <w:color w:val="525866"/>
          <w:sz w:val="22"/>
        </w:rPr>
        <w:t>AYI’s direct engagement with hyperscaler contractors (including prefab operators) confirms the data center construction supply chain is active and accelerating; FIX as a modular/prefab contractor is well-positioned to benefit. Source: AYI Q3 FY2026 Earnings Call (June 25, 2026).</w:t>
      </w:r>
    </w:p>
    <w:p>
      <w:pPr>
        <w:pStyle w:val="ListBullet"/>
        <w:ind w:left="360" w:hanging="360"/>
      </w:pPr>
      <w:r>
        <w:rPr>
          <w:rFonts w:ascii="Calibri" w:hAnsi="Calibri"/>
          <w:b/>
          <w:color w:val="525866"/>
          <w:sz w:val="22"/>
        </w:rPr>
        <w:t>Backlog normalization underway: “long tenured projects starting to move through the pipeline” as “people can’t wait forever.”</w:t>
      </w:r>
      <w:r>
        <w:rPr>
          <w:rFonts w:ascii="Calibri" w:hAnsi="Calibri"/>
          <w:color w:val="525866"/>
          <w:sz w:val="22"/>
        </w:rPr>
        <w:t xml:space="preserve"> Order rates were softest in October–January but are now firming; conversion rates are normalizing. </w:t>
      </w:r>
      <w:r>
        <w:rPr>
          <w:rFonts w:ascii="Calibri" w:hAnsi="Calibri"/>
          <w:b/>
          <w:color w:val="525866"/>
          <w:sz w:val="22"/>
        </w:rPr>
        <w:t xml:space="preserve">FIX Read-Through: </w:t>
      </w:r>
      <w:r>
        <w:rPr>
          <w:rFonts w:ascii="Calibri" w:hAnsi="Calibri"/>
          <w:color w:val="525866"/>
          <w:sz w:val="22"/>
        </w:rPr>
        <w:t>Backlog conversion acceleration is a positive signal for FIX’s revenue recognition in Q2 2026, as projects that were delayed are now moving to execution. Source: AYI Q3 FY2026 Earnings Call (June 25, 2026).</w:t>
      </w:r>
    </w:p>
    <w:p>
      <w:pPr>
        <w:pStyle w:val="ListBullet"/>
        <w:ind w:left="360" w:hanging="360"/>
      </w:pPr>
      <w:r>
        <w:rPr>
          <w:rFonts w:ascii="Calibri" w:hAnsi="Calibri"/>
          <w:b/>
          <w:color w:val="525866"/>
          <w:sz w:val="22"/>
        </w:rPr>
        <w:t>Materials inflation (metals, SGA lines, medical costs +12%) and supply shocks (memory) are ongoing but being managed through pricing and productivity.</w:t>
      </w:r>
      <w:r>
        <w:rPr>
          <w:rFonts w:ascii="Calibri" w:hAnsi="Calibri"/>
          <w:color w:val="525866"/>
          <w:sz w:val="22"/>
        </w:rPr>
        <w:t xml:space="preserve"> AYI is “covering margin dilution with dollars” and expects to “continue to expand margins” even in a soft volume environment. </w:t>
      </w:r>
      <w:r>
        <w:rPr>
          <w:rFonts w:ascii="Calibri" w:hAnsi="Calibri"/>
          <w:b/>
          <w:color w:val="525866"/>
          <w:sz w:val="22"/>
        </w:rPr>
        <w:t xml:space="preserve">FIX Read-Through: </w:t>
      </w:r>
      <w:r>
        <w:rPr>
          <w:rFonts w:ascii="Calibri" w:hAnsi="Calibri"/>
          <w:color w:val="525866"/>
          <w:sz w:val="22"/>
        </w:rPr>
        <w:t>Input cost inflation is a real but manageable headwind; FIX’s contractual protections and scale advantages should provide similar insulation. Source: AYI Q3 FY2026 Earnings Call (June 25, 2026).</w:t>
      </w:r>
    </w:p>
    <w:p>
      <w:pPr>
        <w:pStyle w:val="Heading2"/>
      </w:pPr>
      <w:r>
        <w:rPr>
          <w:rFonts w:ascii="Calibri" w:hAnsi="Calibri"/>
          <w:b/>
          <w:color w:val="3B4259"/>
          <w:sz w:val="28"/>
        </w:rPr>
        <w:t>United Rentals (URI) — Q2 2026 Earnings, July 22, 2026</w:t>
      </w:r>
    </w:p>
    <w:p>
      <w:r>
        <w:rPr>
          <w:rFonts w:ascii="Calibri" w:hAnsi="Calibri"/>
          <w:b/>
          <w:color w:val="525866"/>
          <w:sz w:val="22"/>
        </w:rPr>
        <w:t xml:space="preserve">Relevance: </w:t>
      </w:r>
      <w:r>
        <w:rPr>
          <w:rFonts w:ascii="Calibri" w:hAnsi="Calibri"/>
          <w:color w:val="525866"/>
          <w:sz w:val="22"/>
        </w:rPr>
        <w:t>URI is the largest equipment rental company in North America and a direct proxy for non-residential construction activity, including large industrial and data center projects. URI’s Q2 2026 results (reported July 22, 2026) are the most timely current-quarter read-through available ahead of FIX’s July 24 print.</w:t>
      </w:r>
    </w:p>
    <w:p>
      <w:pPr>
        <w:pStyle w:val="ListBullet"/>
        <w:ind w:left="360" w:hanging="360"/>
      </w:pPr>
      <w:r>
        <w:rPr>
          <w:rFonts w:ascii="Calibri" w:hAnsi="Calibri"/>
          <w:b/>
          <w:color w:val="525866"/>
          <w:sz w:val="22"/>
        </w:rPr>
        <w:t>URI Q2 2026: Revenue $4.41B vs. $4.21B consensus (+4.8% beat); EBITDA $2.056B vs. $1.91B consensus (+7.6% beat).</w:t>
      </w:r>
      <w:r>
        <w:rPr>
          <w:rFonts w:ascii="Calibri" w:hAnsi="Calibri"/>
          <w:color w:val="525866"/>
          <w:sz w:val="22"/>
        </w:rPr>
        <w:t xml:space="preserve"> URI raised full-year EBITDA guidance to $7.975–8.125B from $7.625–7.875B. Management stated “growth accelerated in the quarter” with customers “remaining optimistic about large projects.” </w:t>
      </w:r>
      <w:r>
        <w:rPr>
          <w:rFonts w:ascii="Calibri" w:hAnsi="Calibri"/>
          <w:b/>
          <w:color w:val="525866"/>
          <w:sz w:val="22"/>
        </w:rPr>
        <w:t xml:space="preserve">FIX Read-Through: </w:t>
      </w:r>
      <w:r>
        <w:rPr>
          <w:rFonts w:ascii="Calibri" w:hAnsi="Calibri"/>
          <w:color w:val="525866"/>
          <w:sz w:val="22"/>
        </w:rPr>
        <w:t>URI’s beat and guidance raise is the strongest same-day read-through available — large project optimism and accelerating construction activity directly benefit FIX’s data center and advanced manufacturing end markets. Source: URI Q2 2026 Earnings Release (July 22, 2026).</w:t>
      </w:r>
    </w:p>
    <w:p>
      <w:pPr>
        <w:pStyle w:val="ListBullet"/>
        <w:ind w:left="360" w:hanging="360"/>
      </w:pPr>
      <w:r>
        <w:rPr>
          <w:rFonts w:ascii="Calibri" w:hAnsi="Calibri"/>
          <w:b/>
          <w:color w:val="525866"/>
          <w:sz w:val="22"/>
        </w:rPr>
        <w:t>URI maintained “strong cost discipline” alongside revenue acceleration.</w:t>
      </w:r>
      <w:r>
        <w:rPr>
          <w:rFonts w:ascii="Calibri" w:hAnsi="Calibri"/>
          <w:color w:val="525866"/>
          <w:sz w:val="22"/>
        </w:rPr>
        <w:t xml:space="preserve"> EBITDA margins expanded meaningfully above consensus, suggesting the construction services market is not experiencing margin compression from cost inflation. </w:t>
      </w:r>
      <w:r>
        <w:rPr>
          <w:rFonts w:ascii="Calibri" w:hAnsi="Calibri"/>
          <w:b/>
          <w:color w:val="525866"/>
          <w:sz w:val="22"/>
        </w:rPr>
        <w:t xml:space="preserve">FIX Read-Through: </w:t>
      </w:r>
      <w:r>
        <w:rPr>
          <w:rFonts w:ascii="Calibri" w:hAnsi="Calibri"/>
          <w:color w:val="525866"/>
          <w:sz w:val="22"/>
        </w:rPr>
        <w:t>Positive margin read-through; if URI can expand margins in Q2, FIX’s gross margin sustainability near the ~25% adjusted level looks more credible. Source: URI Q2 2026 Earnings Release (July 22, 2026).</w:t>
      </w:r>
    </w:p>
    <w:p>
      <w:r>
        <w:br w:type="page"/>
      </w:r>
    </w:p>
    <w:p>
      <w:pPr>
        <w:pStyle w:val="Heading1"/>
        <w:pBdr>
          <w:bottom w:val="single" w:sz="4" w:space="1" w:color="FB9120"/>
        </w:pBdr>
      </w:pPr>
      <w:r>
        <w:rPr>
          <w:rFonts w:ascii="Calibri" w:hAnsi="Calibri"/>
          <w:b/>
          <w:color w:val="3B4259"/>
          <w:sz w:val="40"/>
        </w:rPr>
        <w:t>8. Insider Transaction Activity</w:t>
      </w:r>
    </w:p>
    <w:p>
      <w:r>
        <w:rPr>
          <w:rFonts w:ascii="Calibri" w:hAnsi="Calibri"/>
          <w:b/>
          <w:color w:val="525866"/>
          <w:sz w:val="22"/>
        </w:rPr>
        <w:t xml:space="preserve">Key Takeaway: </w:t>
      </w:r>
      <w:r>
        <w:rPr>
          <w:rFonts w:ascii="Calibri" w:hAnsi="Calibri"/>
          <w:color w:val="525866"/>
          <w:sz w:val="22"/>
        </w:rPr>
        <w:t>All insider transactions since the Q1 2026 earnings date are open-market sales — no open-market buys — with the CEO selling 11,113 shares on May 5 being the most notable; however, none appear to be 10b5-1 planned sales based on available Form 4 data, and the sales occurred into post-earnings strength, which is a common pattern for executives managing concentration risk rather than a bearish signal.</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Brian E. Lane</w:t>
            </w:r>
          </w:p>
        </w:tc>
        <w:tc>
          <w:tcPr>
            <w:tcW w:type="dxa" w:w="1440"/>
          </w:tcPr>
          <w:p>
            <w:r>
              <w:rPr>
                <w:rFonts w:ascii="Calibri" w:hAnsi="Calibri"/>
                <w:sz w:val="22"/>
              </w:rPr>
              <w:t>CEO &amp; Director</w:t>
            </w:r>
          </w:p>
        </w:tc>
        <w:tc>
          <w:tcPr>
            <w:tcW w:type="dxa" w:w="1440"/>
          </w:tcPr>
          <w:p>
            <w:r>
              <w:rPr>
                <w:rFonts w:ascii="Calibri" w:hAnsi="Calibri"/>
                <w:sz w:val="22"/>
              </w:rPr>
              <w:t>Open Market Sale</w:t>
            </w:r>
          </w:p>
        </w:tc>
        <w:tc>
          <w:tcPr>
            <w:tcW w:type="dxa" w:w="1440"/>
          </w:tcPr>
          <w:p>
            <w:r>
              <w:rPr>
                <w:rFonts w:ascii="Calibri" w:hAnsi="Calibri"/>
                <w:sz w:val="22"/>
              </w:rPr>
              <w:t>11,113</w:t>
            </w:r>
          </w:p>
        </w:tc>
        <w:tc>
          <w:tcPr>
            <w:tcW w:type="dxa" w:w="1440"/>
          </w:tcPr>
          <w:p>
            <w:r>
              <w:rPr>
                <w:rFonts w:ascii="Calibri" w:hAnsi="Calibri"/>
                <w:sz w:val="22"/>
              </w:rPr>
              <w:t>May 5, 2026</w:t>
            </w:r>
          </w:p>
        </w:tc>
        <w:tc>
          <w:tcPr>
            <w:tcW w:type="dxa" w:w="1440"/>
          </w:tcPr>
          <w:p>
            <w:r>
              <w:rPr>
                <w:rFonts w:ascii="Calibri" w:hAnsi="Calibri"/>
                <w:sz w:val="22"/>
              </w:rPr>
              <w:t>Largest single sale in the period; sold into post-Q1 strength; discretionary (no 10b5-1 flag)</w:t>
            </w:r>
          </w:p>
        </w:tc>
      </w:tr>
      <w:tr>
        <w:tc>
          <w:tcPr>
            <w:tcW w:type="dxa" w:w="1440"/>
          </w:tcPr>
          <w:p>
            <w:r>
              <w:rPr>
                <w:rFonts w:ascii="Calibri" w:hAnsi="Calibri"/>
                <w:sz w:val="22"/>
              </w:rPr>
              <w:t>William George III</w:t>
            </w:r>
          </w:p>
        </w:tc>
        <w:tc>
          <w:tcPr>
            <w:tcW w:type="dxa" w:w="1440"/>
          </w:tcPr>
          <w:p>
            <w:r>
              <w:rPr>
                <w:rFonts w:ascii="Calibri" w:hAnsi="Calibri"/>
                <w:sz w:val="22"/>
              </w:rPr>
              <w:t>CFO</w:t>
            </w:r>
          </w:p>
        </w:tc>
        <w:tc>
          <w:tcPr>
            <w:tcW w:type="dxa" w:w="1440"/>
          </w:tcPr>
          <w:p>
            <w:r>
              <w:rPr>
                <w:rFonts w:ascii="Calibri" w:hAnsi="Calibri"/>
                <w:sz w:val="22"/>
              </w:rPr>
              <w:t>Open Market Sale</w:t>
            </w:r>
          </w:p>
        </w:tc>
        <w:tc>
          <w:tcPr>
            <w:tcW w:type="dxa" w:w="1440"/>
          </w:tcPr>
          <w:p>
            <w:r>
              <w:rPr>
                <w:rFonts w:ascii="Calibri" w:hAnsi="Calibri"/>
                <w:sz w:val="22"/>
              </w:rPr>
              <w:t>4,000</w:t>
            </w:r>
          </w:p>
        </w:tc>
        <w:tc>
          <w:tcPr>
            <w:tcW w:type="dxa" w:w="1440"/>
          </w:tcPr>
          <w:p>
            <w:r>
              <w:rPr>
                <w:rFonts w:ascii="Calibri" w:hAnsi="Calibri"/>
                <w:sz w:val="22"/>
              </w:rPr>
              <w:t>May 8, 2026</w:t>
            </w:r>
          </w:p>
        </w:tc>
        <w:tc>
          <w:tcPr>
            <w:tcW w:type="dxa" w:w="1440"/>
          </w:tcPr>
          <w:p>
            <w:r>
              <w:rPr>
                <w:rFonts w:ascii="Calibri" w:hAnsi="Calibri"/>
                <w:sz w:val="22"/>
              </w:rPr>
              <w:t>Discretionary; sold into post-earnings rally</w:t>
            </w:r>
          </w:p>
        </w:tc>
      </w:tr>
      <w:tr>
        <w:tc>
          <w:tcPr>
            <w:tcW w:type="dxa" w:w="1440"/>
          </w:tcPr>
          <w:p>
            <w:r>
              <w:rPr>
                <w:rFonts w:ascii="Calibri" w:hAnsi="Calibri"/>
                <w:sz w:val="22"/>
              </w:rPr>
              <w:t>William George III</w:t>
            </w:r>
          </w:p>
        </w:tc>
        <w:tc>
          <w:tcPr>
            <w:tcW w:type="dxa" w:w="1440"/>
          </w:tcPr>
          <w:p>
            <w:r>
              <w:rPr>
                <w:rFonts w:ascii="Calibri" w:hAnsi="Calibri"/>
                <w:sz w:val="22"/>
              </w:rPr>
              <w:t>CFO</w:t>
            </w:r>
          </w:p>
        </w:tc>
        <w:tc>
          <w:tcPr>
            <w:tcW w:type="dxa" w:w="1440"/>
          </w:tcPr>
          <w:p>
            <w:r>
              <w:rPr>
                <w:rFonts w:ascii="Calibri" w:hAnsi="Calibri"/>
                <w:sz w:val="22"/>
              </w:rPr>
              <w:t>Open Market Sale</w:t>
            </w:r>
          </w:p>
        </w:tc>
        <w:tc>
          <w:tcPr>
            <w:tcW w:type="dxa" w:w="1440"/>
          </w:tcPr>
          <w:p>
            <w:r>
              <w:rPr>
                <w:rFonts w:ascii="Calibri" w:hAnsi="Calibri"/>
                <w:sz w:val="22"/>
              </w:rPr>
              <w:t>1,000</w:t>
            </w:r>
          </w:p>
        </w:tc>
        <w:tc>
          <w:tcPr>
            <w:tcW w:type="dxa" w:w="1440"/>
          </w:tcPr>
          <w:p>
            <w:r>
              <w:rPr>
                <w:rFonts w:ascii="Calibri" w:hAnsi="Calibri"/>
                <w:sz w:val="22"/>
              </w:rPr>
              <w:t>May 11, 2026</w:t>
            </w:r>
          </w:p>
        </w:tc>
        <w:tc>
          <w:tcPr>
            <w:tcW w:type="dxa" w:w="1440"/>
          </w:tcPr>
          <w:p>
            <w:r>
              <w:rPr>
                <w:rFonts w:ascii="Calibri" w:hAnsi="Calibri"/>
                <w:sz w:val="22"/>
              </w:rPr>
              <w:t>Discretionary; follow-on sale</w:t>
            </w:r>
          </w:p>
        </w:tc>
      </w:tr>
      <w:tr>
        <w:tc>
          <w:tcPr>
            <w:tcW w:type="dxa" w:w="1440"/>
          </w:tcPr>
          <w:p>
            <w:r>
              <w:rPr>
                <w:rFonts w:ascii="Calibri" w:hAnsi="Calibri"/>
                <w:sz w:val="22"/>
              </w:rPr>
              <w:t>Julie Shaeff</w:t>
            </w:r>
          </w:p>
        </w:tc>
        <w:tc>
          <w:tcPr>
            <w:tcW w:type="dxa" w:w="1440"/>
          </w:tcPr>
          <w:p>
            <w:r>
              <w:rPr>
                <w:rFonts w:ascii="Calibri" w:hAnsi="Calibri"/>
                <w:sz w:val="22"/>
              </w:rPr>
              <w:t>Chief Accounting Officer</w:t>
            </w:r>
          </w:p>
        </w:tc>
        <w:tc>
          <w:tcPr>
            <w:tcW w:type="dxa" w:w="1440"/>
          </w:tcPr>
          <w:p>
            <w:r>
              <w:rPr>
                <w:rFonts w:ascii="Calibri" w:hAnsi="Calibri"/>
                <w:sz w:val="22"/>
              </w:rPr>
              <w:t>Open Market Sale</w:t>
            </w:r>
          </w:p>
        </w:tc>
        <w:tc>
          <w:tcPr>
            <w:tcW w:type="dxa" w:w="1440"/>
          </w:tcPr>
          <w:p>
            <w:r>
              <w:rPr>
                <w:rFonts w:ascii="Calibri" w:hAnsi="Calibri"/>
                <w:sz w:val="22"/>
              </w:rPr>
              <w:t>1,123</w:t>
            </w:r>
          </w:p>
        </w:tc>
        <w:tc>
          <w:tcPr>
            <w:tcW w:type="dxa" w:w="1440"/>
          </w:tcPr>
          <w:p>
            <w:r>
              <w:rPr>
                <w:rFonts w:ascii="Calibri" w:hAnsi="Calibri"/>
                <w:sz w:val="22"/>
              </w:rPr>
              <w:t>May 11, 2026</w:t>
            </w:r>
          </w:p>
        </w:tc>
        <w:tc>
          <w:tcPr>
            <w:tcW w:type="dxa" w:w="1440"/>
          </w:tcPr>
          <w:p>
            <w:r>
              <w:rPr>
                <w:rFonts w:ascii="Calibri" w:hAnsi="Calibri"/>
                <w:sz w:val="22"/>
              </w:rPr>
              <w:t>Discretionary; routine post-earnings sale</w:t>
            </w:r>
          </w:p>
        </w:tc>
      </w:tr>
      <w:tr>
        <w:tc>
          <w:tcPr>
            <w:tcW w:type="dxa" w:w="1440"/>
          </w:tcPr>
          <w:p>
            <w:r>
              <w:rPr>
                <w:rFonts w:ascii="Calibri" w:hAnsi="Calibri"/>
                <w:sz w:val="22"/>
              </w:rPr>
              <w:t>Franklin Myers</w:t>
            </w:r>
          </w:p>
        </w:tc>
        <w:tc>
          <w:tcPr>
            <w:tcW w:type="dxa" w:w="1440"/>
          </w:tcPr>
          <w:p>
            <w:r>
              <w:rPr>
                <w:rFonts w:ascii="Calibri" w:hAnsi="Calibri"/>
                <w:sz w:val="22"/>
              </w:rPr>
              <w:t>Director</w:t>
            </w:r>
          </w:p>
        </w:tc>
        <w:tc>
          <w:tcPr>
            <w:tcW w:type="dxa" w:w="1440"/>
          </w:tcPr>
          <w:p>
            <w:r>
              <w:rPr>
                <w:rFonts w:ascii="Calibri" w:hAnsi="Calibri"/>
                <w:sz w:val="22"/>
              </w:rPr>
              <w:t>Open Market Sale</w:t>
            </w:r>
          </w:p>
        </w:tc>
        <w:tc>
          <w:tcPr>
            <w:tcW w:type="dxa" w:w="1440"/>
          </w:tcPr>
          <w:p>
            <w:r>
              <w:rPr>
                <w:rFonts w:ascii="Calibri" w:hAnsi="Calibri"/>
                <w:sz w:val="22"/>
              </w:rPr>
              <w:t>4,500</w:t>
            </w:r>
          </w:p>
        </w:tc>
        <w:tc>
          <w:tcPr>
            <w:tcW w:type="dxa" w:w="1440"/>
          </w:tcPr>
          <w:p>
            <w:r>
              <w:rPr>
                <w:rFonts w:ascii="Calibri" w:hAnsi="Calibri"/>
                <w:sz w:val="22"/>
              </w:rPr>
              <w:t>May 7, 2026</w:t>
            </w:r>
          </w:p>
        </w:tc>
        <w:tc>
          <w:tcPr>
            <w:tcW w:type="dxa" w:w="1440"/>
          </w:tcPr>
          <w:p>
            <w:r>
              <w:rPr>
                <w:rFonts w:ascii="Calibri" w:hAnsi="Calibri"/>
                <w:sz w:val="22"/>
              </w:rPr>
              <w:t>Discretionary; director sale into strength</w:t>
            </w:r>
          </w:p>
        </w:tc>
      </w:tr>
      <w:tr>
        <w:tc>
          <w:tcPr>
            <w:tcW w:type="dxa" w:w="1440"/>
          </w:tcPr>
          <w:p>
            <w:r>
              <w:rPr>
                <w:rFonts w:ascii="Calibri" w:hAnsi="Calibri"/>
                <w:sz w:val="22"/>
              </w:rPr>
              <w:t>Franklin Myers</w:t>
            </w:r>
          </w:p>
        </w:tc>
        <w:tc>
          <w:tcPr>
            <w:tcW w:type="dxa" w:w="1440"/>
          </w:tcPr>
          <w:p>
            <w:r>
              <w:rPr>
                <w:rFonts w:ascii="Calibri" w:hAnsi="Calibri"/>
                <w:sz w:val="22"/>
              </w:rPr>
              <w:t>Director</w:t>
            </w:r>
          </w:p>
        </w:tc>
        <w:tc>
          <w:tcPr>
            <w:tcW w:type="dxa" w:w="1440"/>
          </w:tcPr>
          <w:p>
            <w:r>
              <w:rPr>
                <w:rFonts w:ascii="Calibri" w:hAnsi="Calibri"/>
                <w:sz w:val="22"/>
              </w:rPr>
              <w:t>Open Market Sale</w:t>
            </w:r>
          </w:p>
        </w:tc>
        <w:tc>
          <w:tcPr>
            <w:tcW w:type="dxa" w:w="1440"/>
          </w:tcPr>
          <w:p>
            <w:r>
              <w:rPr>
                <w:rFonts w:ascii="Calibri" w:hAnsi="Calibri"/>
                <w:sz w:val="22"/>
              </w:rPr>
              <w:t>6,700</w:t>
            </w:r>
          </w:p>
        </w:tc>
        <w:tc>
          <w:tcPr>
            <w:tcW w:type="dxa" w:w="1440"/>
          </w:tcPr>
          <w:p>
            <w:r>
              <w:rPr>
                <w:rFonts w:ascii="Calibri" w:hAnsi="Calibri"/>
                <w:sz w:val="22"/>
              </w:rPr>
              <w:t>Jun 24, 2026</w:t>
            </w:r>
          </w:p>
        </w:tc>
        <w:tc>
          <w:tcPr>
            <w:tcW w:type="dxa" w:w="1440"/>
          </w:tcPr>
          <w:p>
            <w:r>
              <w:rPr>
                <w:rFonts w:ascii="Calibri" w:hAnsi="Calibri"/>
                <w:sz w:val="22"/>
              </w:rPr>
              <w:t>Discretionary; second sale in the period; largest director sale</w:t>
            </w:r>
          </w:p>
        </w:tc>
      </w:tr>
      <w:tr>
        <w:tc>
          <w:tcPr>
            <w:tcW w:type="dxa" w:w="1440"/>
          </w:tcPr>
          <w:p>
            <w:r>
              <w:rPr>
                <w:rFonts w:ascii="Calibri" w:hAnsi="Calibri"/>
                <w:sz w:val="22"/>
              </w:rPr>
              <w:t>Pablo G. Mercado</w:t>
            </w:r>
          </w:p>
        </w:tc>
        <w:tc>
          <w:tcPr>
            <w:tcW w:type="dxa" w:w="1440"/>
          </w:tcPr>
          <w:p>
            <w:r>
              <w:rPr>
                <w:rFonts w:ascii="Calibri" w:hAnsi="Calibri"/>
                <w:sz w:val="22"/>
              </w:rPr>
              <w:t>Director</w:t>
            </w:r>
          </w:p>
        </w:tc>
        <w:tc>
          <w:tcPr>
            <w:tcW w:type="dxa" w:w="1440"/>
          </w:tcPr>
          <w:p>
            <w:r>
              <w:rPr>
                <w:rFonts w:ascii="Calibri" w:hAnsi="Calibri"/>
                <w:sz w:val="22"/>
              </w:rPr>
              <w:t>Open Market Sale</w:t>
            </w:r>
          </w:p>
        </w:tc>
        <w:tc>
          <w:tcPr>
            <w:tcW w:type="dxa" w:w="1440"/>
          </w:tcPr>
          <w:p>
            <w:r>
              <w:rPr>
                <w:rFonts w:ascii="Calibri" w:hAnsi="Calibri"/>
                <w:sz w:val="22"/>
              </w:rPr>
              <w:t>500</w:t>
            </w:r>
          </w:p>
        </w:tc>
        <w:tc>
          <w:tcPr>
            <w:tcW w:type="dxa" w:w="1440"/>
          </w:tcPr>
          <w:p>
            <w:r>
              <w:rPr>
                <w:rFonts w:ascii="Calibri" w:hAnsi="Calibri"/>
                <w:sz w:val="22"/>
              </w:rPr>
              <w:t>Apr 30, 2026</w:t>
            </w:r>
          </w:p>
        </w:tc>
        <w:tc>
          <w:tcPr>
            <w:tcW w:type="dxa" w:w="1440"/>
          </w:tcPr>
          <w:p>
            <w:r>
              <w:rPr>
                <w:rFonts w:ascii="Calibri" w:hAnsi="Calibri"/>
                <w:sz w:val="22"/>
              </w:rPr>
              <w:t>Discretionary; small sale</w:t>
            </w:r>
          </w:p>
        </w:tc>
      </w:tr>
      <w:tr>
        <w:tc>
          <w:tcPr>
            <w:tcW w:type="dxa" w:w="1440"/>
          </w:tcPr>
          <w:p>
            <w:r>
              <w:rPr>
                <w:rFonts w:ascii="Calibri" w:hAnsi="Calibri"/>
                <w:sz w:val="22"/>
              </w:rPr>
              <w:t>William J. Sandbrook</w:t>
            </w:r>
          </w:p>
        </w:tc>
        <w:tc>
          <w:tcPr>
            <w:tcW w:type="dxa" w:w="1440"/>
          </w:tcPr>
          <w:p>
            <w:r>
              <w:rPr>
                <w:rFonts w:ascii="Calibri" w:hAnsi="Calibri"/>
                <w:sz w:val="22"/>
              </w:rPr>
              <w:t>Director</w:t>
            </w:r>
          </w:p>
        </w:tc>
        <w:tc>
          <w:tcPr>
            <w:tcW w:type="dxa" w:w="1440"/>
          </w:tcPr>
          <w:p>
            <w:r>
              <w:rPr>
                <w:rFonts w:ascii="Calibri" w:hAnsi="Calibri"/>
                <w:sz w:val="22"/>
              </w:rPr>
              <w:t>Open Market Sale</w:t>
            </w:r>
          </w:p>
        </w:tc>
        <w:tc>
          <w:tcPr>
            <w:tcW w:type="dxa" w:w="1440"/>
          </w:tcPr>
          <w:p>
            <w:r>
              <w:rPr>
                <w:rFonts w:ascii="Calibri" w:hAnsi="Calibri"/>
                <w:sz w:val="22"/>
              </w:rPr>
              <w:t>1,500</w:t>
            </w:r>
          </w:p>
        </w:tc>
        <w:tc>
          <w:tcPr>
            <w:tcW w:type="dxa" w:w="1440"/>
          </w:tcPr>
          <w:p>
            <w:r>
              <w:rPr>
                <w:rFonts w:ascii="Calibri" w:hAnsi="Calibri"/>
                <w:sz w:val="22"/>
              </w:rPr>
              <w:t>Apr 29, 2026</w:t>
            </w:r>
          </w:p>
        </w:tc>
        <w:tc>
          <w:tcPr>
            <w:tcW w:type="dxa" w:w="1440"/>
          </w:tcPr>
          <w:p>
            <w:r>
              <w:rPr>
                <w:rFonts w:ascii="Calibri" w:hAnsi="Calibri"/>
                <w:sz w:val="22"/>
              </w:rPr>
              <w:t>Discretionary; sold day after Q1 earnings call</w:t>
            </w:r>
          </w:p>
        </w:tc>
      </w:tr>
      <w:tr>
        <w:tc>
          <w:tcPr>
            <w:tcW w:type="dxa" w:w="1440"/>
          </w:tcPr>
          <w:p>
            <w:r>
              <w:rPr>
                <w:rFonts w:ascii="Calibri" w:hAnsi="Calibri"/>
                <w:sz w:val="22"/>
              </w:rPr>
              <w:t>Rhoman J. Hardy</w:t>
            </w:r>
          </w:p>
        </w:tc>
        <w:tc>
          <w:tcPr>
            <w:tcW w:type="dxa" w:w="1440"/>
          </w:tcPr>
          <w:p>
            <w:r>
              <w:rPr>
                <w:rFonts w:ascii="Calibri" w:hAnsi="Calibri"/>
                <w:sz w:val="22"/>
              </w:rPr>
              <w:t>Director</w:t>
            </w:r>
          </w:p>
        </w:tc>
        <w:tc>
          <w:tcPr>
            <w:tcW w:type="dxa" w:w="1440"/>
          </w:tcPr>
          <w:p>
            <w:r>
              <w:rPr>
                <w:rFonts w:ascii="Calibri" w:hAnsi="Calibri"/>
                <w:sz w:val="22"/>
              </w:rPr>
              <w:t>Open Market Sale</w:t>
            </w:r>
          </w:p>
        </w:tc>
        <w:tc>
          <w:tcPr>
            <w:tcW w:type="dxa" w:w="1440"/>
          </w:tcPr>
          <w:p>
            <w:r>
              <w:rPr>
                <w:rFonts w:ascii="Calibri" w:hAnsi="Calibri"/>
                <w:sz w:val="22"/>
              </w:rPr>
              <w:t>342</w:t>
            </w:r>
          </w:p>
        </w:tc>
        <w:tc>
          <w:tcPr>
            <w:tcW w:type="dxa" w:w="1440"/>
          </w:tcPr>
          <w:p>
            <w:r>
              <w:rPr>
                <w:rFonts w:ascii="Calibri" w:hAnsi="Calibri"/>
                <w:sz w:val="22"/>
              </w:rPr>
              <w:t>May 27, 2026</w:t>
            </w:r>
          </w:p>
        </w:tc>
        <w:tc>
          <w:tcPr>
            <w:tcW w:type="dxa" w:w="1440"/>
          </w:tcPr>
          <w:p>
            <w:r>
              <w:rPr>
                <w:rFonts w:ascii="Calibri" w:hAnsi="Calibri"/>
                <w:sz w:val="22"/>
              </w:rPr>
              <w:t>Discretionary; small sale</w:t>
            </w:r>
          </w:p>
        </w:tc>
      </w:tr>
    </w:tbl>
    <w:p>
      <w:r>
        <w:rPr>
          <w:rFonts w:ascii="Calibri" w:hAnsi="Calibri"/>
          <w:b/>
          <w:color w:val="525866"/>
          <w:sz w:val="22"/>
        </w:rPr>
        <w:t xml:space="preserve">Assessment: </w:t>
      </w:r>
      <w:r>
        <w:rPr>
          <w:rFonts w:ascii="Calibri" w:hAnsi="Calibri"/>
          <w:color w:val="525866"/>
          <w:sz w:val="22"/>
        </w:rPr>
        <w:t>The cluster of sales in early May (CEO, CFO, CAO, two directors) is consistent with a post-earnings liquidity window — insiders selling into the post-Q1 rally at elevated prices. No open-market buys have been filed. The CEO’s 11,113-share sale is the most notable in absolute terms but represents a small fraction of his 161,089-share remaining position (~6.5%). The June 24 director sale by Franklin Myers (6,700 shares) is the only transaction after the initial post-earnings window and warrants monitoring but is not alarming given the stock’s elevated valuation. No 10b5-1 plan initiations were identified in the filing data.</w:t>
      </w:r>
    </w:p>
    <w:p>
      <w:r>
        <w:rPr>
          <w:rFonts w:ascii="Calibri" w:hAnsi="Calibri"/>
          <w:b/>
          <w:color w:val="525866"/>
          <w:sz w:val="22"/>
        </w:rPr>
        <w:t xml:space="preserve">Source: </w:t>
      </w:r>
      <w:r>
        <w:rPr>
          <w:rFonts w:ascii="Calibri" w:hAnsi="Calibri"/>
          <w:color w:val="525866"/>
          <w:sz w:val="22"/>
        </w:rPr>
        <w:t>SEC Form 4 Filings (Insider Transaction Data), April 29 – June 26, 2026.</w:t>
      </w:r>
    </w:p>
    <w:p>
      <w:r>
        <w:br w:type="page"/>
      </w:r>
    </w:p>
    <w:p>
      <w:pPr>
        <w:pStyle w:val="Heading1"/>
        <w:pBdr>
          <w:bottom w:val="single" w:sz="4" w:space="1" w:color="FB9120"/>
        </w:pBdr>
      </w:pPr>
      <w:r>
        <w:rPr>
          <w:rFonts w:ascii="Calibri" w:hAnsi="Calibri"/>
          <w:b/>
          <w:color w:val="3B4259"/>
          <w:sz w:val="40"/>
        </w:rPr>
        <w:t>9. Key Risks</w:t>
      </w:r>
    </w:p>
    <w:p>
      <w:r>
        <w:rPr>
          <w:rFonts w:ascii="Calibri" w:hAnsi="Calibri"/>
          <w:b/>
          <w:color w:val="525866"/>
          <w:sz w:val="22"/>
        </w:rPr>
        <w:t xml:space="preserve">Key Takeaway: </w:t>
      </w:r>
      <w:r>
        <w:rPr>
          <w:rFonts w:ascii="Calibri" w:hAnsi="Calibri"/>
          <w:color w:val="525866"/>
          <w:sz w:val="22"/>
        </w:rPr>
        <w:t>The primary risk heading into Q2 is gross margin — the Street models ~25.2% (the Q1 adjusted run-rate), and any miss driven by project mix, change-order timing, or labor cost inflation would be the most likely catalyst for a negative stock reaction; the secondary risk is backlog book-to-bill deceleration being misread as a demand signal rather than a supply-discipline story.</w:t>
      </w:r>
    </w:p>
    <w:p>
      <w:pPr>
        <w:pStyle w:val="ListBullet"/>
        <w:ind w:left="360" w:hanging="360"/>
      </w:pPr>
      <w:r>
        <w:rPr>
          <w:rFonts w:ascii="Calibri" w:hAnsi="Calibri"/>
          <w:b/>
          <w:color w:val="525866"/>
          <w:sz w:val="22"/>
        </w:rPr>
        <w:t>Gross Margin Sustainability (HIGH RISK).</w:t>
      </w:r>
      <w:r>
        <w:rPr>
          <w:rFonts w:ascii="Calibri" w:hAnsi="Calibri"/>
          <w:color w:val="525866"/>
          <w:sz w:val="22"/>
        </w:rPr>
        <w:t xml:space="preserve"> Q1 2026 gross margin of 26.3% included ~$43M in non-recurring favorable change orders and late-stage project closeouts. The adjusted run-rate of ~25.2% is the true baseline. If Q2 project mix is less favorable or change-order timing is adverse, gross margin could print below 25%, triggering a sharp negative reaction given the stock’s premium valuation.</w:t>
      </w:r>
    </w:p>
    <w:p>
      <w:pPr>
        <w:pStyle w:val="ListBullet"/>
        <w:ind w:left="360" w:hanging="360"/>
      </w:pPr>
      <w:r>
        <w:rPr>
          <w:rFonts w:ascii="Calibri" w:hAnsi="Calibri"/>
          <w:b/>
          <w:color w:val="525866"/>
          <w:sz w:val="22"/>
        </w:rPr>
        <w:t>Backlog Book-to-Bill Deceleration (MEDIUM RISK).</w:t>
      </w:r>
      <w:r>
        <w:rPr>
          <w:rFonts w:ascii="Calibri" w:hAnsi="Calibri"/>
          <w:color w:val="525866"/>
          <w:sz w:val="22"/>
        </w:rPr>
        <w:t xml:space="preserve"> Management explicitly noted that Q1 2026 book-to-bill moderated because supply (labor and capacity), not demand, is the binding constraint. However, if Q2 backlog growth disappoints, the market may misinterpret it as a demand signal rather than a capacity discipline story, creating a sentiment overhang.</w:t>
      </w:r>
    </w:p>
    <w:p>
      <w:pPr>
        <w:pStyle w:val="ListBullet"/>
        <w:ind w:left="360" w:hanging="360"/>
      </w:pPr>
      <w:r>
        <w:rPr>
          <w:rFonts w:ascii="Calibri" w:hAnsi="Calibri"/>
          <w:b/>
          <w:color w:val="525866"/>
          <w:sz w:val="22"/>
        </w:rPr>
        <w:t>Labor Availability and Cost Inflation (MEDIUM RISK).</w:t>
      </w:r>
      <w:r>
        <w:rPr>
          <w:rFonts w:ascii="Calibri" w:hAnsi="Calibri"/>
          <w:color w:val="525866"/>
          <w:sz w:val="22"/>
        </w:rPr>
        <w:t xml:space="preserve"> FIX’s growth is constrained by the availability of skilled craft professionals. Wage inflation or difficulty attracting/retaining workers in remote data center locations (West Texas, Mississippi, Florida) could compress margins or limit revenue growth below guidance.</w:t>
      </w:r>
    </w:p>
    <w:p>
      <w:pPr>
        <w:pStyle w:val="ListBullet"/>
        <w:ind w:left="360" w:hanging="360"/>
      </w:pPr>
      <w:r>
        <w:rPr>
          <w:rFonts w:ascii="Calibri" w:hAnsi="Calibri"/>
          <w:b/>
          <w:color w:val="525866"/>
          <w:sz w:val="22"/>
        </w:rPr>
        <w:t>Elevated CapEx and FCF Compression (MEDIUM RISK).</w:t>
      </w:r>
      <w:r>
        <w:rPr>
          <w:rFonts w:ascii="Calibri" w:hAnsi="Calibri"/>
          <w:color w:val="525866"/>
          <w:sz w:val="22"/>
        </w:rPr>
        <w:t xml:space="preserve"> Full-year CapEx guidance of ~5% of revenue (~$596M) is a significant step-up from historical ~1–2%. If modular capacity investments do not generate expected returns or if hyperscale customer commitments are delayed, FCF conversion will disappoint and the P/FCF multiple of 42x will look stretched.</w:t>
      </w:r>
    </w:p>
    <w:p>
      <w:pPr>
        <w:pStyle w:val="ListBullet"/>
        <w:ind w:left="360" w:hanging="360"/>
      </w:pPr>
      <w:r>
        <w:rPr>
          <w:rFonts w:ascii="Calibri" w:hAnsi="Calibri"/>
          <w:b/>
          <w:color w:val="525866"/>
          <w:sz w:val="22"/>
        </w:rPr>
        <w:t>Tariff and Supply Chain Risk (LOW-MEDIUM RISK).</w:t>
      </w:r>
      <w:r>
        <w:rPr>
          <w:rFonts w:ascii="Calibri" w:hAnsi="Calibri"/>
          <w:color w:val="525866"/>
          <w:sz w:val="22"/>
        </w:rPr>
        <w:t xml:space="preserve"> While management has highlighted contractual protections and early material release commitments, a sustained escalation in tariffs on steel, copper, or electrical components could pressure margins on long-duration backlog where cost pass-through is limited.</w:t>
      </w:r>
    </w:p>
    <w:p>
      <w:pPr>
        <w:pStyle w:val="ListBullet"/>
        <w:ind w:left="360" w:hanging="360"/>
      </w:pPr>
      <w:r>
        <w:rPr>
          <w:rFonts w:ascii="Calibri" w:hAnsi="Calibri"/>
          <w:b/>
          <w:color w:val="525866"/>
          <w:sz w:val="22"/>
        </w:rPr>
        <w:t>Valuation Risk (MEDIUM RISK).</w:t>
      </w:r>
      <w:r>
        <w:rPr>
          <w:rFonts w:ascii="Calibri" w:hAnsi="Calibri"/>
          <w:color w:val="525866"/>
          <w:sz w:val="22"/>
        </w:rPr>
        <w:t xml:space="preserve"> At 37x NTM P/E and 26x EV/EBITDA, FIX is priced for continued execution at or above guidance. Any miss — even a modest one — could trigger a disproportionate de-rating given the premium multiple. The 1-month pullback of ~13% suggests the market is already beginning to question the sustainability of the premium.</w:t>
      </w:r>
    </w:p>
    <w:p>
      <w:pPr>
        <w:pStyle w:val="ListBullet"/>
        <w:ind w:left="360" w:hanging="360"/>
      </w:pPr>
      <w:r>
        <w:rPr>
          <w:rFonts w:ascii="Calibri" w:hAnsi="Calibri"/>
          <w:b/>
          <w:color w:val="525866"/>
          <w:sz w:val="22"/>
        </w:rPr>
        <w:t>Hyperscale Customer Concentration (LOW RISK).</w:t>
      </w:r>
      <w:r>
        <w:rPr>
          <w:rFonts w:ascii="Calibri" w:hAnsi="Calibri"/>
          <w:color w:val="525866"/>
          <w:sz w:val="22"/>
        </w:rPr>
        <w:t xml:space="preserve"> FIX’s technology sector revenue (56% of total) is heavily concentrated in a small number of hyperscale customers. A pause, delay, or cancellation of data center build programs by one or more hyperscalers would have an outsized impact on backlog and revenue.</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