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GE Vernova (GEV) before writing the preview. Let me gather recent filings, earnings, and news.I have the recent earnings docs and news. Let me read the most recent quarter (2026Q1) transcript and release, plus gather more news and stock price context.Now let me get recent stock price performance and any additional market context around the upcoming print.I have what I need. Let me compile a few figures before writing.Here is the earnings preview.</w:t>
      </w:r>
    </w:p>
    <w:bookmarkStart w:id="22" w:name="ge-vernova-gev--q2-2026-earnings-preview"/>
    <w:p>
      <w:pPr>
        <w:pStyle w:val="Heading1"/>
      </w:pPr>
      <w:r>
        <w:t xml:space="preserve">GE Vernova (GEV) — Q2 2026 Earnings Preview</w:t>
      </w:r>
    </w:p>
    <w:bookmarkStart w:id="9" w:name="X43ab0443faf53a88c1820f24b3bc83059b00546"/>
    <w:p>
      <w:pPr>
        <w:pStyle w:val="Heading3"/>
      </w:pPr>
      <w:r>
        <w:t xml:space="preserve">Report date: Wednesday, July 22, 2026 (before US open) | 2026Q2 Earnings Call</w:t>
      </w:r>
    </w:p>
    <w:p>
      <w:r>
        <w:pict>
          <v:rect style="width:0;height:1.5pt" o:hralign="center" o:hrstd="t" o:hr="t"/>
        </w:pict>
      </w:r>
    </w:p>
    <w:bookmarkEnd w:id="9"/>
    <w:bookmarkStart w:id="10" w:name="the-setup-a-high-bar-momentum-stock"/>
    <w:p>
      <w:pPr>
        <w:pStyle w:val="Heading2"/>
      </w:pPr>
      <w:r>
        <w:t xml:space="preserve">The Setup: A High-Bar, Momentum Stock</w:t>
      </w:r>
    </w:p>
    <w:p>
      <w:pPr>
        <w:pStyle w:val="FirstParagraph"/>
      </w:pPr>
      <w:r>
        <w:t xml:space="preserve">GEV goes into this print as one of the market's premier AI/electrification stories, and the stock reflects it. Shares are up roughly</w:t>
      </w:r>
      <w:r>
        <w:t xml:space="preserve"> </w:t>
      </w:r>
      <w:r>
        <w:rPr>
          <w:b/>
          <w:bCs/>
        </w:rPr>
        <w:t xml:space="preserve">+59% year-to-date</w:t>
      </w:r>
      <w:r>
        <w:t xml:space="preserve"> </w:t>
      </w:r>
      <w:r>
        <w:t xml:space="preserve">(from ~</w:t>
      </w:r>
      <m:oMath>
        <m:r>
          <m:t>680</m:t>
        </m:r>
        <m:r>
          <m:t>i</m:t>
        </m:r>
        <m:r>
          <m:t>n</m:t>
        </m:r>
        <m:r>
          <m:t>e</m:t>
        </m:r>
        <m:r>
          <m:t>a</m:t>
        </m:r>
        <m:r>
          <m:t>r</m:t>
        </m:r>
        <m:r>
          <m:t>l</m:t>
        </m:r>
        <m:r>
          <m:t>y</m:t>
        </m:r>
        <m:r>
          <m:t>J</m:t>
        </m:r>
        <m:r>
          <m:t>a</m:t>
        </m:r>
        <m:r>
          <m:t>n</m:t>
        </m:r>
        <m:r>
          <m:t>u</m:t>
        </m:r>
        <m:r>
          <m:t>a</m:t>
        </m:r>
        <m:r>
          <m:t>r</m:t>
        </m:r>
        <m:r>
          <m:t>y</m:t>
        </m:r>
        <m:r>
          <m:t>t</m:t>
        </m:r>
        <m:r>
          <m:t>o</m:t>
        </m:r>
        <m:r>
          <m:t> </m:t>
        </m:r>
      </m:oMath>
      <w:r>
        <w:t xml:space="preserve">1,079 into the print) and have more than doubled off the April lows. That leaves an unforgiving valuation. Investor sentiment is extremely bullish, driven by anticipated years of powerful secular demand tailwinds from the ongoing boom in data center construction, despite a rich valuation that leaves little room for error.</w:t>
      </w:r>
    </w:p>
    <w:p>
      <w:pPr>
        <w:pStyle w:val="BodyText"/>
      </w:pPr>
      <w:r>
        <w:t xml:space="preserve">Two things frame the risk/reward:</w:t>
      </w:r>
    </w:p>
    <w:p>
      <w:pPr>
        <w:pStyle w:val="Compact"/>
        <w:numPr>
          <w:ilvl w:val="0"/>
          <w:numId w:val="1001"/>
        </w:numPr>
      </w:pPr>
      <w:r>
        <w:rPr>
          <w:b/>
          <w:bCs/>
        </w:rPr>
        <w:t xml:space="preserve">The stock has run hard.</w:t>
      </w:r>
      <w:r>
        <w:t xml:space="preserve"> </w:t>
      </w:r>
      <w:r>
        <w:t xml:space="preserve">It hit an all-time high near ~$1,175 on 6/30 and has since drifted ~8% lower into the report — so the tape is already a bit jittery.</w:t>
      </w:r>
    </w:p>
    <w:p>
      <w:pPr>
        <w:pStyle w:val="Compact"/>
        <w:numPr>
          <w:ilvl w:val="0"/>
          <w:numId w:val="1001"/>
        </w:numPr>
      </w:pPr>
      <w:r>
        <w:rPr>
          <w:b/>
          <w:bCs/>
        </w:rPr>
        <w:t xml:space="preserve">Q1 set a high bar for reactions.</w:t>
      </w:r>
      <w:r>
        <w:t xml:space="preserve"> </w:t>
      </w:r>
      <w:r>
        <w:t xml:space="preserve">GEV jumped</w:t>
      </w:r>
      <w:r>
        <w:t xml:space="preserve"> </w:t>
      </w:r>
      <w:r>
        <w:rPr>
          <w:b/>
          <w:bCs/>
        </w:rPr>
        <w:t xml:space="preserve">+13.7% in a single session</w:t>
      </w:r>
      <w:r>
        <w:t xml:space="preserve"> </w:t>
      </w:r>
      <w:r>
        <w:t xml:space="preserve">on the April Q1 print. A repeat requires beating already-elevated expectations</w:t>
      </w:r>
      <w:r>
        <w:t xml:space="preserve"> </w:t>
      </w:r>
      <w:r>
        <w:rPr>
          <w:i/>
          <w:iCs/>
        </w:rPr>
        <w:t xml:space="preserve">and</w:t>
      </w:r>
      <w:r>
        <w:t xml:space="preserve"> </w:t>
      </w:r>
      <w:r>
        <w:t xml:space="preserve">raising guidance again.</w:t>
      </w:r>
    </w:p>
    <w:p>
      <w:pPr>
        <w:pStyle w:val="FirstParagraph"/>
      </w:pPr>
      <w:r>
        <w:rPr>
          <w:b/>
          <w:bCs/>
        </w:rPr>
        <w:t xml:space="preserve">Recent demand-side validation</w:t>
      </w:r>
      <w:r>
        <w:t xml:space="preserve"> </w:t>
      </w:r>
      <w:r>
        <w:t xml:space="preserve">has kept the narrative hot: GE Vernova turbines are powering Elon Musk's xAI Colossus 1 data center, and Microsoft has purchased seven turbines to power its data center in Texas.</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Consensus (Q2 2026)</w:t>
            </w:r>
          </w:p>
        </w:tc>
      </w:tr>
      <w:tr>
        <w:tc>
          <w:tcPr/>
          <w:p>
            <w:pPr>
              <w:pStyle w:val="Compact"/>
            </w:pPr>
            <w:r>
              <w:t xml:space="preserve">Total revenue</w:t>
            </w:r>
          </w:p>
        </w:tc>
        <w:tc>
          <w:tcPr/>
          <w:p>
            <w:pPr>
              <w:pStyle w:val="Compact"/>
            </w:pPr>
            <w:r>
              <w:t xml:space="preserve">~$10.8B</w:t>
            </w:r>
          </w:p>
        </w:tc>
      </w:tr>
      <w:tr>
        <w:tc>
          <w:tcPr/>
          <w:p>
            <w:pPr>
              <w:pStyle w:val="Compact"/>
            </w:pPr>
            <w:r>
              <w:t xml:space="preserve">Adjusted EPS</w:t>
            </w:r>
          </w:p>
        </w:tc>
        <w:tc>
          <w:tcPr/>
          <w:p>
            <w:pPr>
              <w:pStyle w:val="Compact"/>
            </w:pPr>
            <w:r>
              <w:t xml:space="preserve">~$3.10</w:t>
            </w:r>
          </w:p>
        </w:tc>
      </w:tr>
      <w:tr>
        <w:tc>
          <w:tcPr/>
          <w:p>
            <w:pPr>
              <w:pStyle w:val="Compact"/>
            </w:pPr>
            <w:r>
              <w:t xml:space="preserve">Adjusted EBITDA</w:t>
            </w:r>
          </w:p>
        </w:tc>
        <w:tc>
          <w:tcPr/>
          <w:p>
            <w:pPr>
              <w:pStyle w:val="Compact"/>
            </w:pPr>
            <w:r>
              <w:t xml:space="preserve">~$1.29B (implies ~11.9% margin)</w:t>
            </w:r>
          </w:p>
        </w:tc>
      </w:tr>
      <w:tr>
        <w:tc>
          <w:tcPr/>
          <w:p>
            <w:pPr>
              <w:pStyle w:val="Compact"/>
            </w:pPr>
            <w:r>
              <w:t xml:space="preserve">Power organic revenue growth</w:t>
            </w:r>
          </w:p>
        </w:tc>
        <w:tc>
          <w:tcPr/>
          <w:p>
            <w:pPr>
              <w:pStyle w:val="Compact"/>
            </w:pPr>
            <w:r>
              <w:t xml:space="preserve">~+17%</w:t>
            </w:r>
          </w:p>
        </w:tc>
      </w:tr>
      <w:tr>
        <w:tc>
          <w:tcPr/>
          <w:p>
            <w:pPr>
              <w:pStyle w:val="Compact"/>
            </w:pPr>
            <w:r>
              <w:t xml:space="preserve">Electrification revenue growth</w:t>
            </w:r>
          </w:p>
        </w:tc>
        <w:tc>
          <w:tcPr/>
          <w:p>
            <w:pPr>
              <w:pStyle w:val="Compact"/>
            </w:pPr>
            <w:r>
              <w:t xml:space="preserve">~+50% (incl. Prolec)</w:t>
            </w:r>
          </w:p>
        </w:tc>
      </w:tr>
    </w:tbl>
    <w:p>
      <w:pPr>
        <w:pStyle w:val="BodyText"/>
      </w:pPr>
      <w:r>
        <w:t xml:space="preserve">The Street expects organic top line growth of approximately 17% in Power and approximately 50% in Electrification, with total sales around $10.8B, EPS of approximately $3.10, and EBITDA of approximately $1.29B.</w:t>
      </w:r>
    </w:p>
    <w:p>
      <w:pPr>
        <w:pStyle w:val="BodyText"/>
      </w:pPr>
      <w:r>
        <w:t xml:space="preserve">These are broadly consistent with management's own Q2 guardrails given on the April call (see below), so the debate is less about whether GEV hits the quarter and more about the</w:t>
      </w:r>
      <w:r>
        <w:t xml:space="preserve"> </w:t>
      </w:r>
      <w:r>
        <w:rPr>
          <w:b/>
          <w:bCs/>
        </w:rPr>
        <w:t xml:space="preserve">magnitude of the beat, the order/pricing trajectory, and whether full-year guidance moves up again</w:t>
      </w:r>
      <w:r>
        <w:t xml:space="preserve">.</w:t>
      </w:r>
    </w:p>
    <w:p>
      <w:r>
        <w:pict>
          <v:rect style="width:0;height:1.5pt" o:hralign="center" o:hrstd="t" o:hr="t"/>
        </w:pict>
      </w:r>
    </w:p>
    <w:bookmarkEnd w:id="11"/>
    <w:bookmarkStart w:id="12" w:name="X4245d588606213d27c9e0b02f575a4184893096"/>
    <w:p>
      <w:pPr>
        <w:pStyle w:val="Heading2"/>
      </w:pPr>
      <w:r>
        <w:t xml:space="preserve">Management's Own Q2 Framework (from the Q1 call)</w:t>
      </w:r>
    </w:p>
    <w:p>
      <w:pPr>
        <w:pStyle w:val="FirstParagraph"/>
      </w:pPr>
      <w:r>
        <w:t xml:space="preserve">Ken Parks laid out explicit Q2 segment guidance, which is the cleanest scorecard:</w:t>
      </w:r>
    </w:p>
    <w:p>
      <w:pPr>
        <w:pStyle w:val="Compact"/>
        <w:numPr>
          <w:ilvl w:val="0"/>
          <w:numId w:val="1002"/>
        </w:numPr>
      </w:pPr>
      <w:r>
        <w:rPr>
          <w:b/>
          <w:bCs/>
        </w:rPr>
        <w:t xml:space="preserve">Power:</w:t>
      </w:r>
      <w:r>
        <w:t xml:space="preserve"> </w:t>
      </w:r>
      <w:r>
        <w:t xml:space="preserve">we also anticipate 15% to 17% revenue growth, driven by both higher equipment and services and EBITDA margin of approximately 17% to 18% as volume, price and productivity should more than offset inflation as well as additional expenses to support capacity and R&amp;D investments. Importantly, year-over-year EBITDA margin expansion should be less than 1Q 2026, largely given the timing of planned outages relative to last year.</w:t>
      </w:r>
    </w:p>
    <w:p>
      <w:pPr>
        <w:pStyle w:val="Compact"/>
        <w:numPr>
          <w:ilvl w:val="0"/>
          <w:numId w:val="1002"/>
        </w:numPr>
      </w:pPr>
      <w:r>
        <w:rPr>
          <w:b/>
          <w:bCs/>
        </w:rPr>
        <w:t xml:space="preserve">Electrification:</w:t>
      </w:r>
      <w:r>
        <w:t xml:space="preserve"> </w:t>
      </w:r>
      <w:r>
        <w:t xml:space="preserve">Second quarter electrification revenues should be between $3.3 billion and $3.5 billion, a significant year-over-year increase. With a margin rate modestly above 1Q 2026 levels (Q1 was 17.8%).</w:t>
      </w:r>
    </w:p>
    <w:p>
      <w:pPr>
        <w:pStyle w:val="Compact"/>
        <w:numPr>
          <w:ilvl w:val="0"/>
          <w:numId w:val="1002"/>
        </w:numPr>
      </w:pPr>
      <w:r>
        <w:rPr>
          <w:b/>
          <w:bCs/>
        </w:rPr>
        <w:t xml:space="preserve">Wind:</w:t>
      </w:r>
      <w:r>
        <w:t xml:space="preserve"> </w:t>
      </w:r>
      <w:r>
        <w:t xml:space="preserve">For 2Q 2026, we anticipate Wind revenue to decline at a mid-teens rate year-over-year due to lower onshore equipment deliveries. We expect EBITDA losses to be between $200 million and $300 million.</w:t>
      </w:r>
    </w:p>
    <w:p>
      <w:pPr>
        <w:pStyle w:val="Compact"/>
        <w:numPr>
          <w:ilvl w:val="0"/>
          <w:numId w:val="1002"/>
        </w:numPr>
      </w:pPr>
      <w:r>
        <w:rPr>
          <w:b/>
          <w:bCs/>
        </w:rPr>
        <w:t xml:space="preserve">Free cash flow:</w:t>
      </w:r>
      <w:r>
        <w:t xml:space="preserve"> </w:t>
      </w:r>
      <w:r>
        <w:t xml:space="preserve">We also expect to deliver positive free cash flow in 2Q '26.</w:t>
      </w:r>
    </w:p>
    <w:p>
      <w:pPr>
        <w:pStyle w:val="FirstParagraph"/>
      </w:pPr>
      <w:r>
        <w:rPr>
          <w:b/>
          <w:bCs/>
        </w:rPr>
        <w:t xml:space="preserve">Full-year 2026 guide (raised at Q1) — watch for another raise:</w:t>
      </w:r>
      <w:r>
        <w:t xml:space="preserve"> </w:t>
      </w:r>
      <w:r>
        <w:t xml:space="preserve">GE Vernova is raising its 2026 financial guidance and now expects revenue of</w:t>
      </w:r>
      <w:r>
        <w:t xml:space="preserve"> </w:t>
      </w:r>
      <m:oMath>
        <m:r>
          <m:t>44.5</m:t>
        </m:r>
        <m:r>
          <m:rPr>
            <m:sty m:val="p"/>
          </m:rPr>
          <m:t>−</m:t>
        </m:r>
      </m:oMath>
      <w:r>
        <w:t xml:space="preserve">45.5 billion, up from $44-45 billion, adjusted EBITDA margin of 12%-14%, up from 11%-13%, and free cash flow of</w:t>
      </w:r>
      <w:r>
        <w:t xml:space="preserve"> </w:t>
      </w:r>
      <m:oMath>
        <m:r>
          <m:t>6.5</m:t>
        </m:r>
        <m:r>
          <m:rPr>
            <m:sty m:val="p"/>
          </m:rPr>
          <m:t>−</m:t>
        </m:r>
      </m:oMath>
      <w:r>
        <w:t xml:space="preserve">7.5 billion, up from</w:t>
      </w:r>
      <w:r>
        <w:t xml:space="preserve"> </w:t>
      </w:r>
      <m:oMath>
        <m:r>
          <m:t>5.0</m:t>
        </m:r>
        <m:r>
          <m:rPr>
            <m:sty m:val="p"/>
          </m:rPr>
          <m:t>−</m:t>
        </m:r>
      </m:oMath>
      <w:r>
        <w:t xml:space="preserve">5.5 billion. Segment guide: Power: 16%-18% organic revenue growth and 17%-19% segment EBITDA margin; Electrification: Revenue of</w:t>
      </w:r>
      <w:r>
        <w:t xml:space="preserve"> </w:t>
      </w:r>
      <m:oMath>
        <m:r>
          <m:t>14.0</m:t>
        </m:r>
        <m:r>
          <m:rPr>
            <m:sty m:val="p"/>
          </m:rPr>
          <m:t>−</m:t>
        </m:r>
      </m:oMath>
      <w:r>
        <w:t xml:space="preserve">14.5 billion, which includes approximately $3 billion from Prolec GE, and 18%-20% segment EBITDA margin.</w:t>
      </w:r>
    </w:p>
    <w:p>
      <w:pPr>
        <w:pStyle w:val="BodyText"/>
      </w:pPr>
      <w:r>
        <w:t xml:space="preserve">Given management's history of beat-and-raise and the accelerating backdrop, another guidance bump is arguably the base case — and given the valuation, may already be partly expected.</w:t>
      </w:r>
    </w:p>
    <w:p>
      <w:r>
        <w:pict>
          <v:rect style="width:0;height:1.5pt" o:hralign="center" o:hrstd="t" o:hr="t"/>
        </w:pict>
      </w:r>
    </w:p>
    <w:bookmarkEnd w:id="12"/>
    <w:bookmarkStart w:id="19" w:name="the-key-debates--what-matters-most"/>
    <w:p>
      <w:pPr>
        <w:pStyle w:val="Heading2"/>
      </w:pPr>
      <w:r>
        <w:t xml:space="preserve">The Key Debates / What Matters Most</w:t>
      </w:r>
    </w:p>
    <w:bookmarkStart w:id="13" w:name="X2d05891c13470a6506d0ce0cb76f3c527aadd8d"/>
    <w:p>
      <w:pPr>
        <w:pStyle w:val="Heading3"/>
      </w:pPr>
      <w:r>
        <w:t xml:space="preserve">1. Gas Power orders, slot reservations &amp; pricing — the #1 swing factor</w:t>
      </w:r>
    </w:p>
    <w:p>
      <w:pPr>
        <w:pStyle w:val="FirstParagraph"/>
      </w:pPr>
      <w:r>
        <w:t xml:space="preserve">This is the crux of the bull case. Momentum entering Q2 was extraordinary. Management said: Quarter-to-date, we have booked more power equipment orders in terms of value than we did in all of Q1 '26.</w:t>
      </w:r>
    </w:p>
    <w:p>
      <w:pPr>
        <w:pStyle w:val="BodyText"/>
      </w:pPr>
      <w:r>
        <w:t xml:space="preserve">Watch three things:</w:t>
      </w:r>
    </w:p>
    <w:p>
      <w:pPr>
        <w:pStyle w:val="Compact"/>
        <w:numPr>
          <w:ilvl w:val="0"/>
          <w:numId w:val="1003"/>
        </w:numPr>
      </w:pPr>
      <w:r>
        <w:rPr>
          <w:b/>
          <w:bCs/>
        </w:rPr>
        <w:t xml:space="preserve">Gigawatts under contract.</w:t>
      </w:r>
      <w:r>
        <w:t xml:space="preserve"> </w:t>
      </w:r>
      <w:r>
        <w:t xml:space="preserve">GEV grew total GW under contract from 83 to 100 gigawatts sequentially in Q1 and guided to book 10 to 15 gigawatts of contracts in Q2 and to end '26 with at least 110 gigawatts under contract.</w:t>
      </w:r>
    </w:p>
    <w:p>
      <w:pPr>
        <w:pStyle w:val="Compact"/>
        <w:numPr>
          <w:ilvl w:val="0"/>
          <w:numId w:val="1003"/>
        </w:numPr>
      </w:pPr>
      <w:r>
        <w:rPr>
          <w:b/>
          <w:bCs/>
        </w:rPr>
        <w:t xml:space="preserve">Pricing.</w:t>
      </w:r>
      <w:r>
        <w:t xml:space="preserve"> </w:t>
      </w:r>
      <w:r>
        <w:t xml:space="preserve">The pricing signal is powerful: On pricing, we expect our orders in the first half of '26 to be priced 10 to 20 points higher than our 4Q '25 orders on a dollar per kW basis. Because Q1 orders looked only modestly up on price, that implies</w:t>
      </w:r>
      <w:r>
        <w:t xml:space="preserve"> </w:t>
      </w:r>
      <w:r>
        <w:rPr>
          <w:b/>
          <w:bCs/>
        </w:rPr>
        <w:t xml:space="preserve">Q2 dollar/kW pricing should step up meaningfully</w:t>
      </w:r>
      <w:r>
        <w:t xml:space="preserve"> </w:t>
      </w:r>
      <w:r>
        <w:t xml:space="preserve">— a key margin-durability tell.</w:t>
      </w:r>
    </w:p>
    <w:p>
      <w:pPr>
        <w:pStyle w:val="Compact"/>
        <w:numPr>
          <w:ilvl w:val="0"/>
          <w:numId w:val="1003"/>
        </w:numPr>
      </w:pPr>
      <w:r>
        <w:rPr>
          <w:b/>
          <w:bCs/>
        </w:rPr>
        <w:t xml:space="preserve">Backlog toward $200B.</w:t>
      </w:r>
      <w:r>
        <w:t xml:space="preserve"> </w:t>
      </w:r>
      <w:r>
        <w:t xml:space="preserve">GEV pulled forward its target: we now expect to reach $200 billion in backlog in '27 versus our previous expectation of '28.</w:t>
      </w:r>
    </w:p>
    <w:bookmarkEnd w:id="13"/>
    <w:bookmarkStart w:id="14" w:name="Xcdb08185366c88968133d06f1688dba99f396d3"/>
    <w:p>
      <w:pPr>
        <w:pStyle w:val="Heading3"/>
      </w:pPr>
      <w:r>
        <w:t xml:space="preserve">2. Framework agreements — still unsigned</w:t>
      </w:r>
    </w:p>
    <w:p>
      <w:pPr>
        <w:pStyle w:val="FirstParagraph"/>
      </w:pPr>
      <w:r>
        <w:t xml:space="preserve">A recurring "when, not if" catalyst. Management has been negotiating multi-year commitments but hasn't closed one: The conversations have generally centered on securing long-term commitments at today's pricing through generally a 5-year period... We have not closed one of those transactions to date. They noted conversations continue on, call it, 30 to 35 framework agreements, but we haven't closed one to date.</w:t>
      </w:r>
      <w:r>
        <w:t xml:space="preserve"> </w:t>
      </w:r>
      <w:r>
        <w:rPr>
          <w:b/>
          <w:bCs/>
        </w:rPr>
        <w:t xml:space="preserve">Any signed framework agreement would be a notable positive surprise.</w:t>
      </w:r>
    </w:p>
    <w:bookmarkEnd w:id="14"/>
    <w:bookmarkStart w:id="15" w:name="X3b05c997caafc906e6b78a91ea4137c846bde4b"/>
    <w:p>
      <w:pPr>
        <w:pStyle w:val="Heading3"/>
      </w:pPr>
      <w:r>
        <w:t xml:space="preserve">3. Electrification — the fastest grower and margin story</w:t>
      </w:r>
    </w:p>
    <w:p>
      <w:pPr>
        <w:pStyle w:val="FirstParagraph"/>
      </w:pPr>
      <w:r>
        <w:t xml:space="preserve">This is now the highest-momentum segment. Q1 orders were up 86% organically at ~2.5x book-to-bill, and data-center demand is inflecting: data centers... accounted for approximately $2.4 billion in orders in Q1, more than the full year of '25. Prolec is contributing accretively — Prolec also delivered solid performance with nearly $500 million of revenue at just over 20% EBITDA margin. Watch continued backlog growth, margin trajectory (guided modestly above Q1's 17.8%), and progress on the "string of pearls" content-per-gigawatt story (EMS, solid-state transformers, MV UPS/stability blocks).</w:t>
      </w:r>
    </w:p>
    <w:bookmarkEnd w:id="15"/>
    <w:bookmarkStart w:id="16" w:name="Xa473d85240c094bd0d82e54477ed2b48b0ae842"/>
    <w:p>
      <w:pPr>
        <w:pStyle w:val="Heading3"/>
      </w:pPr>
      <w:r>
        <w:t xml:space="preserve">4. Wind — the drag everyone tolerates</w:t>
      </w:r>
    </w:p>
    <w:p>
      <w:pPr>
        <w:pStyle w:val="FirstParagraph"/>
      </w:pPr>
      <w:r>
        <w:t xml:space="preserve">Losses are expected to persist near-term but improve in 2H. Full-year losses are still guided to ~</w:t>
      </w:r>
      <m:oMath>
        <m:r>
          <m:t>400</m:t>
        </m:r>
        <m:r>
          <m:t>M</m:t>
        </m:r>
        <m:r>
          <m:rPr>
            <m:sty m:val="p"/>
          </m:rPr>
          <m:t>.</m:t>
        </m:r>
        <m:r>
          <m:t>T</m:t>
        </m:r>
        <m:r>
          <m:t>h</m:t>
        </m:r>
        <m:r>
          <m:t>e</m:t>
        </m:r>
        <m:r>
          <m:t>m</m:t>
        </m:r>
        <m:r>
          <m:t>a</m:t>
        </m:r>
        <m:r>
          <m:t>r</m:t>
        </m:r>
        <m:r>
          <m:t>k</m:t>
        </m:r>
        <m:r>
          <m:t>e</m:t>
        </m:r>
        <m:r>
          <m:t>t</m:t>
        </m:r>
        <m:r>
          <m:t>c</m:t>
        </m:r>
        <m:r>
          <m:t>a</m:t>
        </m:r>
        <m:r>
          <m:t>r</m:t>
        </m:r>
        <m:r>
          <m:t>e</m:t>
        </m:r>
        <m:r>
          <m:t>s</m:t>
        </m:r>
        <m:r>
          <m:t>m</m:t>
        </m:r>
        <m:r>
          <m:t>o</m:t>
        </m:r>
        <m:r>
          <m:t>s</m:t>
        </m:r>
        <m:r>
          <m:t>t</m:t>
        </m:r>
        <m:r>
          <m:t>l</m:t>
        </m:r>
        <m:r>
          <m:t>y</m:t>
        </m:r>
        <m:r>
          <m:t>a</m:t>
        </m:r>
        <m:r>
          <m:t>b</m:t>
        </m:r>
        <m:r>
          <m:t>o</m:t>
        </m:r>
        <m:r>
          <m:t>u</m:t>
        </m:r>
        <m:r>
          <m:t>t</m:t>
        </m:r>
        <m:r>
          <m:t>t</m:t>
        </m:r>
        <m:r>
          <m:t>h</m:t>
        </m:r>
        <m:r>
          <m:t>e</m:t>
        </m:r>
        <m:r>
          <m:t>2</m:t>
        </m:r>
        <m:r>
          <m:t>H</m:t>
        </m:r>
        <m:r>
          <m:t>i</m:t>
        </m:r>
        <m:r>
          <m:t>n</m:t>
        </m:r>
        <m:r>
          <m:t>f</m:t>
        </m:r>
        <m:r>
          <m:t>l</m:t>
        </m:r>
        <m:r>
          <m:t>e</m:t>
        </m:r>
        <m:r>
          <m:t>c</m:t>
        </m:r>
        <m:r>
          <m:t>t</m:t>
        </m:r>
        <m:r>
          <m:t>i</m:t>
        </m:r>
        <m:r>
          <m:t>o</m:t>
        </m:r>
        <m:r>
          <m:t>n</m:t>
        </m:r>
        <m:r>
          <m:rPr>
            <m:sty m:val="p"/>
          </m:rPr>
          <m:t>:</m:t>
        </m:r>
        <m:r>
          <m:t>W</m:t>
        </m:r>
        <m:r>
          <m:t>e</m:t>
        </m:r>
        <m:r>
          <m:t>c</m:t>
        </m:r>
        <m:r>
          <m:t>o</m:t>
        </m:r>
        <m:r>
          <m:t>n</m:t>
        </m:r>
        <m:r>
          <m:t>t</m:t>
        </m:r>
        <m:r>
          <m:t>i</m:t>
        </m:r>
        <m:r>
          <m:t>n</m:t>
        </m:r>
        <m:r>
          <m:t>u</m:t>
        </m:r>
        <m:r>
          <m:t>e</m:t>
        </m:r>
        <m:r>
          <m:t>t</m:t>
        </m:r>
        <m:r>
          <m:t>o</m:t>
        </m:r>
        <m:r>
          <m:t>e</m:t>
        </m:r>
        <m:r>
          <m:t>x</m:t>
        </m:r>
        <m:r>
          <m:t>p</m:t>
        </m:r>
        <m:r>
          <m:t>e</m:t>
        </m:r>
        <m:r>
          <m:t>c</m:t>
        </m:r>
        <m:r>
          <m:t>t</m:t>
        </m:r>
        <m:r>
          <m:t>s</m:t>
        </m:r>
        <m:r>
          <m:t>i</m:t>
        </m:r>
        <m:r>
          <m:t>g</m:t>
        </m:r>
        <m:r>
          <m:t>n</m:t>
        </m:r>
        <m:r>
          <m:t>i</m:t>
        </m:r>
        <m:r>
          <m:t>f</m:t>
        </m:r>
        <m:r>
          <m:t>i</m:t>
        </m:r>
        <m:r>
          <m:t>c</m:t>
        </m:r>
        <m:r>
          <m:t>a</m:t>
        </m:r>
        <m:r>
          <m:t>n</m:t>
        </m:r>
        <m:r>
          <m:t>t</m:t>
        </m:r>
        <m:r>
          <m:t>i</m:t>
        </m:r>
        <m:r>
          <m:t>m</m:t>
        </m:r>
        <m:r>
          <m:t>p</m:t>
        </m:r>
        <m:r>
          <m:t>r</m:t>
        </m:r>
        <m:r>
          <m:t>o</m:t>
        </m:r>
        <m:r>
          <m:t>v</m:t>
        </m:r>
        <m:r>
          <m:t>e</m:t>
        </m:r>
        <m:r>
          <m:t>m</m:t>
        </m:r>
        <m:r>
          <m:t>e</m:t>
        </m:r>
        <m:r>
          <m:t>n</m:t>
        </m:r>
        <m:r>
          <m:t>t</m:t>
        </m:r>
        <m:r>
          <m:t>i</m:t>
        </m:r>
        <m:r>
          <m:t>n</m:t>
        </m:r>
        <m:r>
          <m:t>W</m:t>
        </m:r>
        <m:r>
          <m:t>i</m:t>
        </m:r>
        <m:r>
          <m:t>n</m:t>
        </m:r>
        <m:r>
          <m:t>d</m:t>
        </m:r>
        <m:r>
          <m:t>r</m:t>
        </m:r>
        <m:r>
          <m:t>e</m:t>
        </m:r>
        <m:r>
          <m:t>v</m:t>
        </m:r>
        <m:r>
          <m:t>e</m:t>
        </m:r>
        <m:r>
          <m:t>n</m:t>
        </m:r>
        <m:r>
          <m:t>u</m:t>
        </m:r>
        <m:r>
          <m:t>e</m:t>
        </m:r>
        <m:r>
          <m:t>i</m:t>
        </m:r>
        <m:r>
          <m:t>n</m:t>
        </m:r>
        <m:r>
          <m:t>t</m:t>
        </m:r>
        <m:r>
          <m:t>h</m:t>
        </m:r>
        <m:r>
          <m:t>e</m:t>
        </m:r>
        <m:r>
          <m:t>s</m:t>
        </m:r>
        <m:r>
          <m:t>e</m:t>
        </m:r>
        <m:r>
          <m:t>c</m:t>
        </m:r>
        <m:r>
          <m:t>o</m:t>
        </m:r>
        <m:r>
          <m:t>n</m:t>
        </m:r>
        <m:r>
          <m:t>d</m:t>
        </m:r>
        <m:r>
          <m:t>h</m:t>
        </m:r>
        <m:r>
          <m:t>a</m:t>
        </m:r>
        <m:r>
          <m:t>l</m:t>
        </m:r>
        <m:r>
          <m:t>f</m:t>
        </m:r>
        <m:r>
          <m:t>o</m:t>
        </m:r>
        <m:r>
          <m:t>f</m:t>
        </m:r>
        <m:r>
          <m:t>t</m:t>
        </m:r>
        <m:r>
          <m:t>h</m:t>
        </m:r>
        <m:r>
          <m:t>e</m:t>
        </m:r>
        <m:r>
          <m:t>y</m:t>
        </m:r>
        <m:r>
          <m:t>e</m:t>
        </m:r>
        <m:r>
          <m:t>a</m:t>
        </m:r>
        <m:r>
          <m:t>r</m:t>
        </m:r>
        <m:r>
          <m:rPr>
            <m:sty m:val="p"/>
          </m:rPr>
          <m:t>,</m:t>
        </m:r>
        <m:r>
          <m:t>g</m:t>
        </m:r>
        <m:r>
          <m:t>i</m:t>
        </m:r>
        <m:r>
          <m:t>v</m:t>
        </m:r>
        <m:r>
          <m:t>e</m:t>
        </m:r>
        <m:r>
          <m:t>n</m:t>
        </m:r>
        <m:r>
          <m:t>o</m:t>
        </m:r>
        <m:r>
          <m:t>n</m:t>
        </m:r>
        <m:r>
          <m:t>l</m:t>
        </m:r>
        <m:r>
          <m:t>y</m:t>
        </m:r>
        <m:r>
          <m:t>30</m:t>
        </m:r>
      </m:oMath>
      <w:r>
        <w:t xml:space="preserve">200–300M range) or any wobble in the 2H recovery narrative would be a negative. Also watch commentary on</w:t>
      </w:r>
      <w:r>
        <w:t xml:space="preserve"> </w:t>
      </w:r>
      <w:r>
        <w:rPr>
          <w:b/>
          <w:bCs/>
        </w:rPr>
        <w:t xml:space="preserve">Section 232 wind/solar tariffs</w:t>
      </w:r>
      <w:r>
        <w:t xml:space="preserve"> </w:t>
      </w:r>
      <w:r>
        <w:t xml:space="preserve">and any US onshore order inflection.</w:t>
      </w:r>
    </w:p>
    <w:bookmarkEnd w:id="16"/>
    <w:bookmarkStart w:id="17" w:name="X5a73f1020763fb8d26745c53aff00f98417a485"/>
    <w:p>
      <w:pPr>
        <w:pStyle w:val="Heading3"/>
      </w:pPr>
      <w:r>
        <w:t xml:space="preserve">5. Tariffs — contained, but worth monitoring</w:t>
      </w:r>
    </w:p>
    <w:p>
      <w:pPr>
        <w:pStyle w:val="FirstParagraph"/>
      </w:pPr>
      <w:r>
        <w:t xml:space="preserve">Management has held the net impact steady: We guided to $250 million to $350 million net impact on the company in 2026... the absolute number is about exactly where we thought it would be. Prolec carries slightly more 232 exposure, so watch mitigation commentary.</w:t>
      </w:r>
    </w:p>
    <w:bookmarkEnd w:id="17"/>
    <w:bookmarkStart w:id="18" w:name="X1dfca19387dfd91dfee9188b94c5ad68b5ed982"/>
    <w:p>
      <w:pPr>
        <w:pStyle w:val="Heading3"/>
      </w:pPr>
      <w:r>
        <w:t xml:space="preserve">6. Capacity ramp &amp; nuclear/SMR optionality</w:t>
      </w:r>
    </w:p>
    <w:p>
      <w:pPr>
        <w:pStyle w:val="Compact"/>
        <w:numPr>
          <w:ilvl w:val="0"/>
          <w:numId w:val="1004"/>
        </w:numPr>
      </w:pPr>
      <w:r>
        <w:rPr>
          <w:b/>
          <w:bCs/>
        </w:rPr>
        <w:t xml:space="preserve">Gas capacity:</w:t>
      </w:r>
      <w:r>
        <w:t xml:space="preserve"> </w:t>
      </w:r>
      <w:r>
        <w:t xml:space="preserve">on track to reach 20 gigawatts of annualized output by 3Q — near-term productivity should begin flowing. Watch for updates on the path to 24 GW by 2028 and whether they'll take orders for 2031+.</w:t>
      </w:r>
    </w:p>
    <w:p>
      <w:pPr>
        <w:pStyle w:val="Compact"/>
        <w:numPr>
          <w:ilvl w:val="0"/>
          <w:numId w:val="1004"/>
        </w:numPr>
      </w:pPr>
      <w:r>
        <w:rPr>
          <w:b/>
          <w:bCs/>
        </w:rPr>
        <w:t xml:space="preserve">SMR/nuclear:</w:t>
      </w:r>
      <w:r>
        <w:t xml:space="preserve"> </w:t>
      </w:r>
      <w:r>
        <w:t xml:space="preserve">progress at Darlington (base mat installation), the potential up to $40 billion for GE Vernova Hitachi to build SMRs in the U.S. announcement, and a possible Clinch River NRC license as soon as the second half of '26. These are longer-dated but sentiment-relevant.</w:t>
      </w:r>
    </w:p>
    <w:p>
      <w:r>
        <w:pict>
          <v:rect style="width:0;height:1.5pt" o:hralign="center" o:hrstd="t" o:hr="t"/>
        </w:pict>
      </w:r>
    </w:p>
    <w:bookmarkEnd w:id="18"/>
    <w:bookmarkEnd w:id="19"/>
    <w:bookmarkStart w:id="20" w:name="balance-sheet--capital-returns"/>
    <w:p>
      <w:pPr>
        <w:pStyle w:val="Heading2"/>
      </w:pPr>
      <w:r>
        <w:t xml:space="preserve">Balance Sheet &amp; Capital Returns</w:t>
      </w:r>
    </w:p>
    <w:p>
      <w:pPr>
        <w:pStyle w:val="FirstParagraph"/>
      </w:pPr>
      <w:r>
        <w:t xml:space="preserve">GEV is executing an aggressive buyback into strength. In Q1 it repurchased approximately 1.8 million shares for $1.3 billion at an average price of $720 — well below current levels — plus the $0.50/quarter dividend. It ended Q1 with a healthy cash balance of approximately</w:t>
      </w:r>
      <w:r>
        <w:t xml:space="preserve"> </w:t>
      </w:r>
      <m:oMath>
        <m:r>
          <m:t>10.2</m:t>
        </m:r>
        <m:r>
          <m:t>b</m:t>
        </m:r>
        <m:r>
          <m:t>i</m:t>
        </m:r>
        <m:r>
          <m:t>l</m:t>
        </m:r>
        <m:r>
          <m:t>l</m:t>
        </m:r>
        <m:r>
          <m:t>i</m:t>
        </m:r>
        <m:r>
          <m:t>o</m:t>
        </m:r>
        <m:r>
          <m:t>n</m:t>
        </m:r>
        <m:r>
          <m:t>e</m:t>
        </m:r>
        <m:r>
          <m:t>v</m:t>
        </m:r>
        <m:r>
          <m:t>e</m:t>
        </m:r>
        <m:r>
          <m:t>n</m:t>
        </m:r>
        <m:r>
          <m:t>a</m:t>
        </m:r>
        <m:r>
          <m:t>f</m:t>
        </m:r>
        <m:r>
          <m:t>t</m:t>
        </m:r>
        <m:r>
          <m:t>e</m:t>
        </m:r>
        <m:r>
          <m:t>r</m:t>
        </m:r>
        <m:r>
          <m:t>t</m:t>
        </m:r>
        <m:r>
          <m:t>h</m:t>
        </m:r>
        <m:r>
          <m:t>e</m:t>
        </m:r>
        <m:r>
          <m:t> </m:t>
        </m:r>
      </m:oMath>
      <w:r>
        <w:t xml:space="preserve">5.3B Prolec close, while staying below 1x gross debt to adjusted EBITDA and investment grade (BBB/BBB+). Watch for pace of repurchases and any capital-return updates.</w:t>
      </w:r>
    </w:p>
    <w:p>
      <w:pPr>
        <w:pStyle w:val="BodyText"/>
      </w:pPr>
      <w:r>
        <w:rPr>
          <w:b/>
          <w:bCs/>
        </w:rPr>
        <w:t xml:space="preserve">Note on FCF cadence:</w:t>
      </w:r>
      <w:r>
        <w:t xml:space="preserve"> </w:t>
      </w:r>
      <w:r>
        <w:t xml:space="preserve">Q1's $4.8B FCF was heavily working-capital/down-payment driven, so quarterly FCF will be lumpy; focus on the raised full-year $6.5–7.5B guide rather than any single quarter.</w:t>
      </w:r>
    </w:p>
    <w:p>
      <w:r>
        <w:pict>
          <v:rect style="width:0;height:1.5pt" o:hralign="center" o:hrstd="t" o:hr="t"/>
        </w:pict>
      </w:r>
    </w:p>
    <w:bookmarkEnd w:id="20"/>
    <w:bookmarkStart w:id="21" w:name="bottom-line--what-to-watch-for"/>
    <w:p>
      <w:pPr>
        <w:pStyle w:val="Heading2"/>
      </w:pPr>
      <w:r>
        <w:t xml:space="preserve">Bottom Line — What to Watch For</w:t>
      </w:r>
    </w:p>
    <w:p>
      <w:pPr>
        <w:pStyle w:val="FirstParagraph"/>
      </w:pPr>
      <w:r>
        <w:rPr>
          <w:b/>
          <w:bCs/>
        </w:rPr>
        <w:t xml:space="preserve">Bull case confirmation:</w:t>
      </w:r>
      <w:r>
        <w:t xml:space="preserve"> </w:t>
      </w:r>
      <w:r>
        <w:t xml:space="preserve">another full-year guidance raise; Q2 gas orders continuing the "more than all of Q1" pace with the 10–20 pt pricing step-up flowing through; a first signed framework agreement; Electrification margins pushing higher; and a credible 2H Wind inflection.</w:t>
      </w:r>
    </w:p>
    <w:p>
      <w:pPr>
        <w:pStyle w:val="BodyText"/>
      </w:pPr>
      <w:r>
        <w:rPr>
          <w:b/>
          <w:bCs/>
        </w:rPr>
        <w:t xml:space="preserve">Risk factors:</w:t>
      </w:r>
      <w:r>
        <w:t xml:space="preserve"> </w:t>
      </w:r>
      <w:r>
        <w:t xml:space="preserve">with the stock up ~59% YTD and only ~8% off all-time highs, expectations are steep — a mere in-line quarter, softer-than-expected order/pricing momentum, a heavier Wind loss, or the absence of a guidance raise could all trigger a pullback given a rich valuation that leaves little room for error.</w:t>
      </w:r>
    </w:p>
    <w:p>
      <w:pPr>
        <w:pStyle w:val="BodyText"/>
      </w:pPr>
      <w:r>
        <w:t xml:space="preserve">Given the +13.7% Q1 reaction and the pre-print drift lower, this is a</w:t>
      </w:r>
      <w:r>
        <w:t xml:space="preserve"> </w:t>
      </w:r>
      <w:r>
        <w:rPr>
          <w:b/>
          <w:bCs/>
        </w:rPr>
        <w:t xml:space="preserve">binary, high-volatility setup</w:t>
      </w:r>
      <w:r>
        <w:t xml:space="preserve">: the fundamentals remain exceptionally strong, but the market is priced for continued beat-and-raise execution, and the burden of proof sits with the print.</w:t>
      </w:r>
    </w:p>
    <w:p>
      <w:pPr>
        <w:pStyle w:val="BodyText"/>
      </w:pPr>
      <w:r>
        <w:rPr>
          <w:i/>
          <w:iCs/>
        </w:rPr>
        <w:t xml:space="preserve">(Consensus figures per news digests; all operational/guidance figures per GEV's Q1 2026 release and earnings call.)</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2026-07-22T00:03:48Z</dcterms:created>
  <dcterms:modified xsi:type="dcterms:W3CDTF">2026-07-22T00:03:48Z</dcterms:modified>
</cp:coreProperties>
</file>

<file path=docProps/custom.xml><?xml version="1.0" encoding="utf-8"?>
<Properties xmlns="http://schemas.openxmlformats.org/officeDocument/2006/custom-properties" xmlns:vt="http://schemas.openxmlformats.org/officeDocument/2006/docPropsVTypes"/>
</file>