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Let me dig into the latest Q1 2026 earnings materials and the December 2025 Investor Day, plus recent news.Now let me get recent stock price data and latest news to round out the preview.Let me get a bit more color on recent developments and analyst sentiment.# GE Vernova (GEV) — Q2 2026 Earnings Preview</w:t>
      </w:r>
      <w:r>
        <w:t xml:space="preserve"> </w:t>
      </w:r>
      <w:r>
        <w:rPr>
          <w:b/>
          <w:bCs/>
        </w:rPr>
        <w:t xml:space="preserve">Report Date:</w:t>
      </w:r>
      <w:r>
        <w:t xml:space="preserve"> </w:t>
      </w:r>
      <w:r>
        <w:t xml:space="preserve">Wednesday, July 22, 2026, before the U.S. market open</w:t>
      </w:r>
      <w:r>
        <w:t xml:space="preserve"> </w:t>
      </w:r>
      <w:r>
        <w:rPr>
          <w:b/>
          <w:bCs/>
        </w:rPr>
        <w:t xml:space="preserve">Call:</w:t>
      </w:r>
      <w:r>
        <w:t xml:space="preserve"> </w:t>
      </w:r>
      <w:r>
        <w:t xml:space="preserve">2026Q2 Earnings Call</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GEV goes into this report as one of the market's most closely watched "AI power" plays, and the bar has been raised meaningfully after a blowout Q1. The stock has more than doubled over the trailing year (from roughly $550 in July 2025 to around $1,079 as of July 21, 2026) and is up nearly 60% year-to-date, though it has pulled back about 8% from its late-June peak near $1,175. Investor sentiment heading into the print is described as extremely bullish, with the Street looking for organic top-line growth of roughly 17% in Power and roughly 50% in Electrification, total revenue near $10.8B, EPS around $3.10, and EBITDA around $1.29B — but the valuation is seen as rich, leaving little room for disappointment.</w:t>
      </w:r>
    </w:p>
    <w:p>
      <w:pPr>
        <w:pStyle w:val="BodyText"/>
      </w:pPr>
      <w:r>
        <w:t xml:space="preserve">The stock's reaction to Q1 (a 14% single-day pop) shows how sensitive shares are to orders/backlog momentum and guidance revisions, not just the headline P&amp;L — so the key swing factors for Q2 are likely to be Gas Power slot/order bookings, Electrification (especially data-center-driven) order growth, and any further guidance raise.</w:t>
      </w:r>
    </w:p>
    <w:p>
      <w:r>
        <w:pict>
          <v:rect style="width:0;height:1.5pt" o:hralign="center" o:hrstd="t" o:hr="t"/>
        </w:pict>
      </w:r>
    </w:p>
    <w:bookmarkEnd w:id="9"/>
    <w:bookmarkStart w:id="10" w:name="Xa5d9eec590e7ad35d978f5ebc77bcd312f65997"/>
    <w:p>
      <w:pPr>
        <w:pStyle w:val="Heading2"/>
      </w:pPr>
      <w:r>
        <w:t xml:space="preserve">2. What Happened Last Quarter (Q1 2026 Recap — the Baseline)</w:t>
      </w:r>
    </w:p>
    <w:p>
      <w:pPr>
        <w:pStyle w:val="FirstParagraph"/>
      </w:pPr>
      <w:r>
        <w:t xml:space="preserve">Q1 2026 was a landmark quarter and sets a high bar for sequential/YoY comparisons:</w:t>
      </w:r>
    </w:p>
    <w:p>
      <w:pPr>
        <w:pStyle w:val="Compact"/>
        <w:numPr>
          <w:ilvl w:val="0"/>
          <w:numId w:val="1001"/>
        </w:numPr>
      </w:pPr>
      <w:r>
        <w:rPr>
          <w:b/>
          <w:bCs/>
        </w:rPr>
        <w:t xml:space="preserve">Orders</w:t>
      </w:r>
      <w:r>
        <w:t xml:space="preserve"> </w:t>
      </w:r>
      <w:r>
        <w:t xml:space="preserve">of $18.3B, +71% organically, with growth in all three segments and a book-to-bill of roughly 2x.</w:t>
      </w:r>
    </w:p>
    <w:p>
      <w:pPr>
        <w:pStyle w:val="Compact"/>
        <w:numPr>
          <w:ilvl w:val="0"/>
          <w:numId w:val="1001"/>
        </w:numPr>
      </w:pPr>
      <w:r>
        <w:rPr>
          <w:b/>
          <w:bCs/>
        </w:rPr>
        <w:t xml:space="preserve">Revenue</w:t>
      </w:r>
      <w:r>
        <w:t xml:space="preserve"> </w:t>
      </w:r>
      <w:r>
        <w:t xml:space="preserve">of $9.3B, +16% (+7% organic), led by Electrification and Power equipment.</w:t>
      </w:r>
    </w:p>
    <w:p>
      <w:pPr>
        <w:pStyle w:val="Compact"/>
        <w:numPr>
          <w:ilvl w:val="0"/>
          <w:numId w:val="1001"/>
        </w:numPr>
      </w:pPr>
      <w:r>
        <w:rPr>
          <w:b/>
          <w:bCs/>
        </w:rPr>
        <w:t xml:space="preserve">Adjusted EBITDA</w:t>
      </w:r>
      <w:r>
        <w:t xml:space="preserve"> </w:t>
      </w:r>
      <w:r>
        <w:t xml:space="preserve">of $896M, nearly doubling YoY, with margin up 390bps to 9.6%.</w:t>
      </w:r>
    </w:p>
    <w:p>
      <w:pPr>
        <w:pStyle w:val="Compact"/>
        <w:numPr>
          <w:ilvl w:val="0"/>
          <w:numId w:val="1001"/>
        </w:numPr>
      </w:pPr>
      <w:r>
        <w:rPr>
          <w:b/>
          <w:bCs/>
        </w:rPr>
        <w:t xml:space="preserve">Free cash flow</w:t>
      </w:r>
      <w:r>
        <w:t xml:space="preserve"> </w:t>
      </w:r>
      <w:r>
        <w:t xml:space="preserve">of $4.8B — more than the full year of 2025 — driven by working-capital benefits from surging down payments and slot reservations.</w:t>
      </w:r>
    </w:p>
    <w:p>
      <w:pPr>
        <w:pStyle w:val="Compact"/>
        <w:numPr>
          <w:ilvl w:val="0"/>
          <w:numId w:val="1001"/>
        </w:numPr>
      </w:pPr>
      <w:r>
        <w:rPr>
          <w:b/>
          <w:bCs/>
        </w:rPr>
        <w:t xml:space="preserve">Net income</w:t>
      </w:r>
      <w:r>
        <w:t xml:space="preserve"> </w:t>
      </w:r>
      <w:r>
        <w:t xml:space="preserve">of $4.75B (50.9% margin) was inflated by a $4.5B pre-tax gain tied to the Prolec GE acquisition remeasurement.</w:t>
      </w:r>
    </w:p>
    <w:p>
      <w:pPr>
        <w:pStyle w:val="Compact"/>
        <w:numPr>
          <w:ilvl w:val="0"/>
          <w:numId w:val="1001"/>
        </w:numPr>
      </w:pPr>
      <w:r>
        <w:rPr>
          <w:b/>
          <w:bCs/>
        </w:rPr>
        <w:t xml:space="preserve">Backlog</w:t>
      </w:r>
      <w:r>
        <w:t xml:space="preserve"> </w:t>
      </w:r>
      <w:r>
        <w:t xml:space="preserve">grew $13.0B sequentially to $163B, including $5B added from Prolec GE; management now expects to hit $200B in backlog in 2027 (a year earlier than previously guided).</w:t>
      </w:r>
    </w:p>
    <w:p>
      <w:pPr>
        <w:pStyle w:val="Compact"/>
        <w:numPr>
          <w:ilvl w:val="0"/>
          <w:numId w:val="1001"/>
        </w:numPr>
      </w:pPr>
      <w:r>
        <w:rPr>
          <w:b/>
          <w:bCs/>
        </w:rPr>
        <w:t xml:space="preserve">Gas Power</w:t>
      </w:r>
      <w:r>
        <w:t xml:space="preserve">: contracted gigawatts (backlog + slot reservation agreements) grew from 83 GW to 100 GW, with management guiding to at least 110 GW by year-end 2026. Notably, management said April orders alone matched the entire Q1 in value.</w:t>
      </w:r>
    </w:p>
    <w:p>
      <w:pPr>
        <w:pStyle w:val="Compact"/>
        <w:numPr>
          <w:ilvl w:val="0"/>
          <w:numId w:val="1001"/>
        </w:numPr>
      </w:pPr>
      <w:r>
        <w:rPr>
          <w:b/>
          <w:bCs/>
        </w:rPr>
        <w:t xml:space="preserve">Electrification</w:t>
      </w:r>
      <w:r>
        <w:t xml:space="preserve">: orders of $7.1B (+86% organic) drove a ~2.5x book-to-bill; data-center-related orders of $2.4B in the quarter alone already exceeded all of 2025.</w:t>
      </w:r>
    </w:p>
    <w:p>
      <w:pPr>
        <w:pStyle w:val="Compact"/>
        <w:numPr>
          <w:ilvl w:val="0"/>
          <w:numId w:val="1001"/>
        </w:numPr>
      </w:pPr>
      <w:r>
        <w:rPr>
          <w:b/>
          <w:bCs/>
        </w:rPr>
        <w:t xml:space="preserve">Wind</w:t>
      </w:r>
      <w:r>
        <w:t xml:space="preserve"> </w:t>
      </w:r>
      <w:r>
        <w:t xml:space="preserve">remained a drag, with revenue down 23% and EBITDA losses widening to $382M on soft onshore equipment volumes and tariff impacts, plus offshore contract losses.</w:t>
      </w:r>
    </w:p>
    <w:p>
      <w:pPr>
        <w:pStyle w:val="Compact"/>
        <w:numPr>
          <w:ilvl w:val="0"/>
          <w:numId w:val="1001"/>
        </w:numPr>
      </w:pPr>
      <w:r>
        <w:t xml:space="preserve">The company</w:t>
      </w:r>
      <w:r>
        <w:t xml:space="preserve"> </w:t>
      </w:r>
      <w:r>
        <w:rPr>
          <w:b/>
          <w:bCs/>
        </w:rPr>
        <w:t xml:space="preserve">raised full-year 2026 guidance</w:t>
      </w:r>
      <w:r>
        <w:t xml:space="preserve">: revenue to $44.5–45.5B (from $44–45B), adjusted EBITDA margin to 12–14% (from 11–13%), and free cash flow to $6.5–7.5B (from $5.0–5.5B).</w:t>
      </w:r>
    </w:p>
    <w:p>
      <w:r>
        <w:pict>
          <v:rect style="width:0;height:1.5pt" o:hralign="center" o:hrstd="t" o:hr="t"/>
        </w:pict>
      </w:r>
    </w:p>
    <w:bookmarkEnd w:id="10"/>
    <w:bookmarkStart w:id="11" w:name="X28b197ecdcc57d28691cd1c7908566b1a00ee54"/>
    <w:p>
      <w:pPr>
        <w:pStyle w:val="Heading2"/>
      </w:pPr>
      <w:r>
        <w:t xml:space="preserve">3. Company's Own Q2 Guidance — The Key Benchmarks</w:t>
      </w:r>
    </w:p>
    <w:p>
      <w:pPr>
        <w:pStyle w:val="FirstParagraph"/>
      </w:pPr>
      <w:r>
        <w:t xml:space="preserve">Management gave fairly specific segment-level guardrails for Q2 2026 on the Q1 call, which should frame how to judge Wednesday's print: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Segment</w:t>
            </w:r>
          </w:p>
        </w:tc>
        <w:tc>
          <w:tcPr/>
          <w:p>
            <w:pPr>
              <w:pStyle w:val="Compact"/>
            </w:pPr>
            <w:r>
              <w:t xml:space="preserve">Q2 2026 Guide</w:t>
            </w:r>
          </w:p>
        </w:tc>
      </w:tr>
      <w:tr>
        <w:tc>
          <w:tcPr/>
          <w:p>
            <w:pPr>
              <w:pStyle w:val="Compact"/>
            </w:pPr>
            <w:r>
              <w:rPr>
                <w:b/>
                <w:bCs/>
              </w:rPr>
              <w:t xml:space="preserve">Power</w:t>
            </w:r>
          </w:p>
        </w:tc>
        <w:tc>
          <w:tcPr/>
          <w:p>
            <w:pPr>
              <w:pStyle w:val="Compact"/>
            </w:pPr>
            <w:r>
              <w:t xml:space="preserve">Revenue growth of 15–17% YoY; EBITDA margin ~17–18% (note: margin</w:t>
            </w:r>
            <w:r>
              <w:t xml:space="preserve"> </w:t>
            </w:r>
            <w:r>
              <w:rPr>
                <w:i/>
                <w:iCs/>
              </w:rPr>
              <w:t xml:space="preserve">expansion</w:t>
            </w:r>
            <w:r>
              <w:t xml:space="preserve"> </w:t>
            </w:r>
            <w:r>
              <w:t xml:space="preserve">expected to be smaller than Q1's +500bps due to outage timing)</w:t>
            </w:r>
          </w:p>
        </w:tc>
      </w:tr>
      <w:tr>
        <w:tc>
          <w:tcPr/>
          <w:p>
            <w:pPr>
              <w:pStyle w:val="Compact"/>
            </w:pPr>
            <w:r>
              <w:rPr>
                <w:b/>
                <w:bCs/>
              </w:rPr>
              <w:t xml:space="preserve">Electrification</w:t>
            </w:r>
          </w:p>
        </w:tc>
        <w:tc>
          <w:tcPr/>
          <w:p>
            <w:pPr>
              <w:pStyle w:val="Compact"/>
            </w:pPr>
            <w:r>
              <w:t xml:space="preserve">Revenue of $3.3–3.5B; EBITDA margin modestly above Q1's 17.8%</w:t>
            </w:r>
          </w:p>
        </w:tc>
      </w:tr>
      <w:tr>
        <w:tc>
          <w:tcPr/>
          <w:p>
            <w:pPr>
              <w:pStyle w:val="Compact"/>
            </w:pPr>
            <w:r>
              <w:rPr>
                <w:b/>
                <w:bCs/>
              </w:rPr>
              <w:t xml:space="preserve">Wind</w:t>
            </w:r>
          </w:p>
        </w:tc>
        <w:tc>
          <w:tcPr/>
          <w:p>
            <w:pPr>
              <w:pStyle w:val="Compact"/>
            </w:pPr>
            <w:r>
              <w:t xml:space="preserve">Revenue down mid-teens YoY; EBITDA losses of $200–300M (narrower than Q1's $382M loss, aided by better services profitability)</w:t>
            </w:r>
          </w:p>
        </w:tc>
      </w:tr>
      <w:tr>
        <w:tc>
          <w:tcPr/>
          <w:p>
            <w:pPr>
              <w:pStyle w:val="Compact"/>
            </w:pPr>
            <w:r>
              <w:rPr>
                <w:b/>
                <w:bCs/>
              </w:rPr>
              <w:t xml:space="preserve">Total Company</w:t>
            </w:r>
          </w:p>
        </w:tc>
        <w:tc>
          <w:tcPr/>
          <w:p>
            <w:pPr>
              <w:pStyle w:val="Compact"/>
            </w:pPr>
            <w:r>
              <w:t xml:space="preserve">Continued YoY revenue growth and adjusted EBITDA margin expansion; positive free cash flow (though Q1's cash inflows won't repeat given the lumpiness of down payments)</w:t>
            </w:r>
          </w:p>
        </w:tc>
      </w:tr>
    </w:tbl>
    <w:p>
      <w:pPr>
        <w:pStyle w:val="BodyText"/>
      </w:pPr>
      <w:r>
        <w:t xml:space="preserve">Corporate costs are guided to $450–500M for the full year, and full-year adjusted EBITDA is expected to be more second-half weighted, with the highest revenue/EBITDA quarter in Q4.</w:t>
      </w:r>
    </w:p>
    <w:p>
      <w:r>
        <w:pict>
          <v:rect style="width:0;height:1.5pt" o:hralign="center" o:hrstd="t" o:hr="t"/>
        </w:pict>
      </w:r>
    </w:p>
    <w:bookmarkEnd w:id="11"/>
    <w:bookmarkStart w:id="12" w:name="X2adc59179bd6359cc238d5464d75655e2b6ac92"/>
    <w:p>
      <w:pPr>
        <w:pStyle w:val="Heading2"/>
      </w:pPr>
      <w:r>
        <w:t xml:space="preserve">4. Key Themes to Watch on the Call</w:t>
      </w:r>
    </w:p>
    <w:p>
      <w:pPr>
        <w:pStyle w:val="FirstParagraph"/>
      </w:pPr>
      <w:r>
        <w:rPr>
          <w:b/>
          <w:bCs/>
        </w:rPr>
        <w:t xml:space="preserve">Gas Power orders, pricing, and capacity.</w:t>
      </w:r>
      <w:r>
        <w:t xml:space="preserve"> </w:t>
      </w:r>
      <w:r>
        <w:t xml:space="preserve">This is the single biggest swing factor for sentiment. Watch for: (1) progress toward the 110 GW year-end contracted target (up from 100 GW at Q1-end); (2) confirmation that new orders/SRAs are pricing 10–20 points higher on a $/kW basis versus Q4 2025 levels, as flagged last quarter; (3) any update on 2029/2030 slot availability (only ~10 GW remained combined as of Q1) and early conversations on multi-year "framework" volume commitments with hyperscalers (none signed yet as of Q1); and (4) progress toward the ~20 GW annualized production run-rate targeted for Q3 2026.</w:t>
      </w:r>
    </w:p>
    <w:p>
      <w:pPr>
        <w:pStyle w:val="BodyText"/>
      </w:pPr>
      <w:r>
        <w:rPr>
          <w:b/>
          <w:bCs/>
        </w:rPr>
        <w:t xml:space="preserve">Electrification momentum and data centers.</w:t>
      </w:r>
      <w:r>
        <w:t xml:space="preserve"> </w:t>
      </w:r>
      <w:r>
        <w:t xml:space="preserve">Orders have been running roughly 2.5x revenue with equipment backlog up 75% YoY to $38.6B including Prolec. Investors will want to see whether the data-center order cadence (which already exceeded all of FY25 in Q1 alone) continued, and whether new "attach" products (Energy Management Systems, MV UPS "stability block," solid-state transformers) are gaining traction, as management has framed a broader integrated offering strategy ("string of pearls") to increase revenue per gigawatt of data-center capacity served.</w:t>
      </w:r>
    </w:p>
    <w:p>
      <w:pPr>
        <w:pStyle w:val="BodyText"/>
      </w:pPr>
      <w:r>
        <w:rPr>
          <w:b/>
          <w:bCs/>
        </w:rPr>
        <w:t xml:space="preserve">Wind trajectory.</w:t>
      </w:r>
      <w:r>
        <w:t xml:space="preserve"> </w:t>
      </w:r>
      <w:r>
        <w:t xml:space="preserve">Watch for confirmation that EBITDA losses narrowed sequentially per guidance ($200–300M vs. $382M in Q1), progress on offshore wind (Dogger Bank A and Vineyard Wind installations were completed in Q1, with Dogger Bank B/C construction ongoing through 2027), and any signs of an onshore order inflection tied to Section 232 tariff clarity — management noted in Q1 it was "still difficult to call an inflection point" in U.S. onshore orders.</w:t>
      </w:r>
    </w:p>
    <w:p>
      <w:pPr>
        <w:pStyle w:val="BodyText"/>
      </w:pPr>
      <w:r>
        <w:rPr>
          <w:b/>
          <w:bCs/>
        </w:rPr>
        <w:t xml:space="preserve">Prolec GE integration.</w:t>
      </w:r>
      <w:r>
        <w:t xml:space="preserve"> </w:t>
      </w:r>
      <w:r>
        <w:t xml:space="preserve">The</w:t>
      </w:r>
      <w:r>
        <w:t xml:space="preserve"> </w:t>
      </w:r>
      <m:oMath>
        <m:r>
          <m:t>5.3</m:t>
        </m:r>
        <m:r>
          <m:t>B</m:t>
        </m:r>
        <m:r>
          <m:t>a</m:t>
        </m:r>
        <m:r>
          <m:t>l</m:t>
        </m:r>
        <m:r>
          <m:t>l</m:t>
        </m:r>
        <m:r>
          <m:rPr>
            <m:sty m:val="p"/>
          </m:rPr>
          <m:t>−</m:t>
        </m:r>
        <m:r>
          <m:t>c</m:t>
        </m:r>
        <m:r>
          <m:t>a</m:t>
        </m:r>
        <m:r>
          <m:t>s</m:t>
        </m:r>
        <m:r>
          <m:t>h</m:t>
        </m:r>
        <m:r>
          <m:t>a</m:t>
        </m:r>
        <m:r>
          <m:t>c</m:t>
        </m:r>
        <m:r>
          <m:t>q</m:t>
        </m:r>
        <m:r>
          <m:t>u</m:t>
        </m:r>
        <m:r>
          <m:t>i</m:t>
        </m:r>
        <m:r>
          <m:t>s</m:t>
        </m:r>
        <m:r>
          <m:t>i</m:t>
        </m:r>
        <m:r>
          <m:t>t</m:t>
        </m:r>
        <m:r>
          <m:t>i</m:t>
        </m:r>
        <m:r>
          <m:t>o</m:t>
        </m:r>
        <m:r>
          <m:t>n</m:t>
        </m:r>
        <m:r>
          <m:t>o</m:t>
        </m:r>
        <m:r>
          <m:t>f</m:t>
        </m:r>
        <m:r>
          <m:t>t</m:t>
        </m:r>
        <m:r>
          <m:t>h</m:t>
        </m:r>
        <m:r>
          <m:t>e</m:t>
        </m:r>
        <m:r>
          <m:t>r</m:t>
        </m:r>
        <m:r>
          <m:t>e</m:t>
        </m:r>
        <m:r>
          <m:t>m</m:t>
        </m:r>
        <m:r>
          <m:t>a</m:t>
        </m:r>
        <m:r>
          <m:t>i</m:t>
        </m:r>
        <m:r>
          <m:t>n</m:t>
        </m:r>
        <m:r>
          <m:t>i</m:t>
        </m:r>
        <m:r>
          <m:t>n</m:t>
        </m:r>
        <m:r>
          <m:t>g</m:t>
        </m:r>
        <m:r>
          <m:t>50</m:t>
        </m:r>
      </m:oMath>
      <w:r>
        <w:t xml:space="preserve">3B revenue contribution and ~20%+ margin trend continued.</w:t>
      </w:r>
    </w:p>
    <w:p>
      <w:pPr>
        <w:pStyle w:val="BodyText"/>
      </w:pPr>
      <w:r>
        <w:rPr>
          <w:b/>
          <w:bCs/>
        </w:rPr>
        <w:t xml:space="preserve">Tariffs.</w:t>
      </w:r>
      <w:r>
        <w:t xml:space="preserve"> </w:t>
      </w:r>
      <w:r>
        <w:t xml:space="preserve">Management has guided to a $250–350M net tariff impact for 2026, already embedded in guidance, with somewhat greater exposure at Prolec under Section 232 changes than the legacy business. Any incremental tariff commentary (especially around Section 232 wind/solar tariffs, which could unlock more onshore wind order clarity) is worth tracking.</w:t>
      </w:r>
    </w:p>
    <w:p>
      <w:pPr>
        <w:pStyle w:val="BodyText"/>
      </w:pPr>
      <w:r>
        <w:rPr>
          <w:b/>
          <w:bCs/>
        </w:rPr>
        <w:t xml:space="preserve">Nuclear/SMR.</w:t>
      </w:r>
      <w:r>
        <w:t xml:space="preserve"> </w:t>
      </w:r>
      <w:r>
        <w:t xml:space="preserve">Progress at OPG's Darlington SMR project (Unit 1 foundation work), the U.S./Japan government-backed framework for GE Vernova Hitachi SMR buildout, and timing on the NRC construction license for TVA's Clinch River project (expected as soon as H2 2026) remain longer-duration optionality not yet in backlog.</w:t>
      </w:r>
    </w:p>
    <w:p>
      <w:pPr>
        <w:pStyle w:val="BodyText"/>
      </w:pPr>
      <w:r>
        <w:rPr>
          <w:b/>
          <w:bCs/>
        </w:rPr>
        <w:t xml:space="preserve">Capital allocation.</w:t>
      </w:r>
      <w:r>
        <w:t xml:space="preserve"> </w:t>
      </w:r>
      <w:r>
        <w:t xml:space="preserve">GEV ended Q1 with $10.2B cash, remained under 1x gross debt/adjusted EBITDA, and returned $1.4B to shareholders in Q1 (including $1.3B of buybacks at an average price of</w:t>
      </w:r>
      <w:r>
        <w:t xml:space="preserve"> </w:t>
      </w:r>
      <m:oMath>
        <m:r>
          <m:t>720</m:t>
        </m:r>
        <m:r>
          <m:rPr>
            <m:sty m:val="p"/>
          </m:rPr>
          <m:t>—</m:t>
        </m:r>
        <m:r>
          <m:t>w</m:t>
        </m:r>
        <m:r>
          <m:t>e</m:t>
        </m:r>
        <m:r>
          <m:t>l</m:t>
        </m:r>
        <m:r>
          <m:t>l</m:t>
        </m:r>
        <m:r>
          <m:t>b</m:t>
        </m:r>
        <m:r>
          <m:t>e</m:t>
        </m:r>
        <m:r>
          <m:t>l</m:t>
        </m:r>
        <m:r>
          <m:t>o</m:t>
        </m:r>
        <m:r>
          <m:t>w</m:t>
        </m:r>
        <m:r>
          <m:t>t</m:t>
        </m:r>
        <m:r>
          <m:t>h</m:t>
        </m:r>
        <m:r>
          <m:t>e</m:t>
        </m:r>
        <m:r>
          <m:t>c</m:t>
        </m:r>
        <m:r>
          <m:t>u</m:t>
        </m:r>
        <m:r>
          <m:t>r</m:t>
        </m:r>
        <m:r>
          <m:t>r</m:t>
        </m:r>
        <m:r>
          <m:t>e</m:t>
        </m:r>
        <m:r>
          <m:t>n</m:t>
        </m:r>
        <m:r>
          <m:t>t</m:t>
        </m:r>
        <m:r>
          <m:t> </m:t>
        </m:r>
      </m:oMath>
      <w:r>
        <w:t xml:space="preserve">1,079 share price, though buyback pacing/pricing commentary will be of interest given the stock's rally).</w:t>
      </w:r>
    </w:p>
    <w:p>
      <w:r>
        <w:pict>
          <v:rect style="width:0;height:1.5pt" o:hralign="center" o:hrstd="t" o:hr="t"/>
        </w:pict>
      </w:r>
    </w:p>
    <w:bookmarkEnd w:id="12"/>
    <w:bookmarkStart w:id="13" w:name="X6351b6f40dfdf2f084cd7d2e799f84a6b6264ac"/>
    <w:p>
      <w:pPr>
        <w:pStyle w:val="Heading2"/>
      </w:pPr>
      <w:r>
        <w:t xml:space="preserve">5. Risks and Things That Could Disappoint</w:t>
      </w:r>
    </w:p>
    <w:p>
      <w:pPr>
        <w:pStyle w:val="Compact"/>
        <w:numPr>
          <w:ilvl w:val="0"/>
          <w:numId w:val="1002"/>
        </w:numPr>
      </w:pPr>
      <w:r>
        <w:rPr>
          <w:b/>
          <w:bCs/>
        </w:rPr>
        <w:t xml:space="preserve">Valuation risk</w:t>
      </w:r>
      <w:r>
        <w:t xml:space="preserve">: with the stock up ~2x YoY and trading at a premium multiple, even a solid quarter that merely meets high expectations could trigger a "sell the news" reaction if orders growth decelerates from Q1's extraordinary 71% pace.</w:t>
      </w:r>
    </w:p>
    <w:p>
      <w:pPr>
        <w:pStyle w:val="Compact"/>
        <w:numPr>
          <w:ilvl w:val="0"/>
          <w:numId w:val="1002"/>
        </w:numPr>
      </w:pPr>
      <w:r>
        <w:rPr>
          <w:b/>
          <w:bCs/>
        </w:rPr>
        <w:t xml:space="preserve">Wind losses</w:t>
      </w:r>
      <w:r>
        <w:t xml:space="preserve">: any further deterioration in onshore equipment volumes or additional offshore contract losses would weigh on the print.</w:t>
      </w:r>
    </w:p>
    <w:p>
      <w:pPr>
        <w:pStyle w:val="Compact"/>
        <w:numPr>
          <w:ilvl w:val="0"/>
          <w:numId w:val="1002"/>
        </w:numPr>
      </w:pPr>
      <w:r>
        <w:rPr>
          <w:b/>
          <w:bCs/>
        </w:rPr>
        <w:t xml:space="preserve">Tariff/supply chain volatility</w:t>
      </w:r>
      <w:r>
        <w:t xml:space="preserve">: Section 232 and country-tariff changes remain fluid and could pressure Electrification/Prolec margins beyond the guided range.</w:t>
      </w:r>
    </w:p>
    <w:p>
      <w:pPr>
        <w:pStyle w:val="Compact"/>
        <w:numPr>
          <w:ilvl w:val="0"/>
          <w:numId w:val="1002"/>
        </w:numPr>
      </w:pPr>
      <w:r>
        <w:rPr>
          <w:b/>
          <w:bCs/>
        </w:rPr>
        <w:t xml:space="preserve">Execution on capacity</w:t>
      </w:r>
      <w:r>
        <w:t xml:space="preserve">: Gas Power's ability to convert its swelling slot-reservation book into delivered, profitable equipment depends on capacity ramps (Greenville, SC; new machine installs) proceeding on schedule.</w:t>
      </w:r>
    </w:p>
    <w:p>
      <w:pPr>
        <w:pStyle w:val="Compact"/>
        <w:numPr>
          <w:ilvl w:val="0"/>
          <w:numId w:val="1002"/>
        </w:numPr>
      </w:pPr>
      <w:r>
        <w:rPr>
          <w:b/>
          <w:bCs/>
        </w:rPr>
        <w:t xml:space="preserve">Lack of framework agreements</w:t>
      </w:r>
      <w:r>
        <w:t xml:space="preserve">: management noted on the Q1 call that despite active negotiations, no multi-year hyperscaler volume commitment had yet been signed — a delay here wouldn't be a Q2 problem per se, but continued absence could eventually raise questions about backlog quality/duration.</w:t>
      </w:r>
    </w:p>
    <w:p>
      <w:r>
        <w:pict>
          <v:rect style="width:0;height:1.5pt" o:hralign="center" o:hrstd="t" o:hr="t"/>
        </w:pict>
      </w:r>
    </w:p>
    <w:bookmarkEnd w:id="13"/>
    <w:bookmarkStart w:id="14" w:name="X49e34d9056703e0521ab3ce2e920b2c4ba97a36"/>
    <w:p>
      <w:pPr>
        <w:pStyle w:val="Heading2"/>
      </w:pPr>
      <w:r>
        <w:t xml:space="preserve">6. Bottom Line</w:t>
      </w:r>
    </w:p>
    <w:p>
      <w:pPr>
        <w:pStyle w:val="FirstParagraph"/>
      </w:pPr>
      <w:r>
        <w:t xml:space="preserve">GE Vernova enters this print with significant momentum: record backlog, an already-raised 2026 guide, accelerating gas turbine pricing and data-center-driven Electrification demand, and a much-improved (though still loss-making) Wind segment. The setup is high-risk/high-reward — Street numbers (~</w:t>
      </w:r>
      <m:oMath>
        <m:r>
          <m:t>10.8</m:t>
        </m:r>
        <m:r>
          <m:t>B</m:t>
        </m:r>
        <m:r>
          <m:t>r</m:t>
        </m:r>
        <m:r>
          <m:t>e</m:t>
        </m:r>
        <m:r>
          <m:t>v</m:t>
        </m:r>
        <m:r>
          <m:t>e</m:t>
        </m:r>
        <m:r>
          <m:t>n</m:t>
        </m:r>
        <m:r>
          <m:t>u</m:t>
        </m:r>
        <m:r>
          <m:t>e</m:t>
        </m:r>
        <m:r>
          <m:rPr>
            <m:sty m:val="p"/>
          </m:rPr>
          <m:t>,</m:t>
        </m:r>
        <m:r>
          <m:t> </m:t>
        </m:r>
      </m:oMath>
      <w:r>
        <w:t xml:space="preserve">3.10 EPS) already embed continued acceleration (17% organic Power growth, ~50% Electrification growth), and the stock's rich valuation leaves limited room for anything short of another beat-and-raise. The most important lines to watch aren't just the reported quarter, but forward-looking order/backlog metrics (contracted gigawatts, data-center orders, pricing trends) and whether management again lifts full-year revenue, margin, or free-cash-flow guidance.</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2026-07-22T00:05:45Z</dcterms:created>
  <dcterms:modified xsi:type="dcterms:W3CDTF">2026-07-22T00:05:45Z</dcterms:modified>
</cp:coreProperties>
</file>

<file path=docProps/custom.xml><?xml version="1.0" encoding="utf-8"?>
<Properties xmlns="http://schemas.openxmlformats.org/officeDocument/2006/custom-properties" xmlns:vt="http://schemas.openxmlformats.org/officeDocument/2006/docPropsVTypes"/>
</file>