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ge-vernova-2026q2-earnings-preview"/>
    <w:p>
      <w:pPr>
        <w:pStyle w:val="Heading1"/>
      </w:pPr>
      <w:r>
        <w:t xml:space="preserve">GE Vernova 2026Q2 Earnings Preview</w:t>
      </w:r>
    </w:p>
    <w:p>
      <w:pPr>
        <w:pStyle w:val="FirstParagraph"/>
      </w:pPr>
      <w:r>
        <w:rPr>
          <w:b/>
          <w:bCs/>
        </w:rPr>
        <w:t xml:space="preserve">Report date:</w:t>
      </w:r>
      <w:r>
        <w:t xml:space="preserve"> </w:t>
      </w:r>
      <w:r>
        <w:t xml:space="preserve">July 22, 2026, before the U.S. market opens</w:t>
      </w:r>
      <w:r>
        <w:br/>
      </w:r>
      <w:r>
        <w:rPr>
          <w:b/>
          <w:bCs/>
        </w:rPr>
        <w:t xml:space="preserve">Earnings call:</w:t>
      </w:r>
      <w:r>
        <w:t xml:space="preserve"> </w:t>
      </w:r>
      <w:r>
        <w:t xml:space="preserve">7:30 a.m. ET</w:t>
      </w:r>
      <w:r>
        <w:br/>
      </w:r>
      <w:r>
        <w:rPr>
          <w:b/>
          <w:bCs/>
        </w:rPr>
        <w:t xml:space="preserve">Ticker:</w:t>
      </w:r>
      <w:r>
        <w:t xml:space="preserve"> </w:t>
      </w:r>
      <w:r>
        <w:t xml:space="preserve">NYSE: GEV</w:t>
      </w:r>
    </w:p>
    <w:bookmarkStart w:id="9" w:name="executive-view"/>
    <w:p>
      <w:pPr>
        <w:pStyle w:val="Heading2"/>
      </w:pPr>
      <w:r>
        <w:t xml:space="preserve">Executive view</w:t>
      </w:r>
    </w:p>
    <w:p>
      <w:pPr>
        <w:pStyle w:val="FirstParagraph"/>
      </w:pPr>
      <w:r>
        <w:t xml:space="preserve">GE Vernova enters the quarter with exceptional demand, rapidly expanding margins and one of the strongest order environments in industrials. It also enters with a stock price that already discounts a substantial amount of future success.</w:t>
      </w:r>
    </w:p>
    <w:p>
      <w:pPr>
        <w:pStyle w:val="BodyText"/>
      </w:pPr>
      <w:r>
        <w:t xml:space="preserve">The central question is therefore</w:t>
      </w:r>
      <w:r>
        <w:t xml:space="preserve"> </w:t>
      </w:r>
      <w:r>
        <w:rPr>
          <w:b/>
          <w:bCs/>
        </w:rPr>
        <w:t xml:space="preserve">not whether Q2 was strong</w:t>
      </w:r>
      <w:r>
        <w:t xml:space="preserve">. Management effectively told investors that it would be. The question is whether orders, pricing and execution are improving quickly enough to support another upward revision to the company’s medium-term earnings and cash-flow trajectory.</w:t>
      </w:r>
    </w:p>
    <w:p>
      <w:pPr>
        <w:pStyle w:val="BodyText"/>
      </w:pPr>
      <w:r>
        <w:t xml:space="preserve">The most consequential disclosures should be:</w:t>
      </w:r>
    </w:p>
    <w:p>
      <w:pPr>
        <w:pStyle w:val="Compact"/>
        <w:numPr>
          <w:ilvl w:val="0"/>
          <w:numId w:val="1001"/>
        </w:numPr>
      </w:pPr>
      <w:r>
        <w:rPr>
          <w:b/>
          <w:bCs/>
        </w:rPr>
        <w:t xml:space="preserve">Gas turbine contracts, pricing and available capacity</w:t>
      </w:r>
    </w:p>
    <w:p>
      <w:pPr>
        <w:pStyle w:val="Compact"/>
        <w:numPr>
          <w:ilvl w:val="0"/>
          <w:numId w:val="1001"/>
        </w:numPr>
      </w:pPr>
      <w:r>
        <w:rPr>
          <w:b/>
          <w:bCs/>
        </w:rPr>
        <w:t xml:space="preserve">Electrification orders and margin progression</w:t>
      </w:r>
    </w:p>
    <w:p>
      <w:pPr>
        <w:pStyle w:val="Compact"/>
        <w:numPr>
          <w:ilvl w:val="0"/>
          <w:numId w:val="1001"/>
        </w:numPr>
      </w:pPr>
      <w:r>
        <w:rPr>
          <w:b/>
          <w:bCs/>
        </w:rPr>
        <w:t xml:space="preserve">The quality and sustainability of free cash flow</w:t>
      </w:r>
    </w:p>
    <w:p>
      <w:pPr>
        <w:pStyle w:val="Compact"/>
        <w:numPr>
          <w:ilvl w:val="0"/>
          <w:numId w:val="1001"/>
        </w:numPr>
      </w:pPr>
      <w:r>
        <w:rPr>
          <w:b/>
          <w:bCs/>
        </w:rPr>
        <w:t xml:space="preserve">The timing of Wind’s expected second-half recovery</w:t>
      </w:r>
    </w:p>
    <w:p>
      <w:pPr>
        <w:pStyle w:val="Compact"/>
        <w:numPr>
          <w:ilvl w:val="0"/>
          <w:numId w:val="1001"/>
        </w:numPr>
      </w:pPr>
      <w:r>
        <w:rPr>
          <w:b/>
          <w:bCs/>
        </w:rPr>
        <w:t xml:space="preserve">Whether management raises 2026 guidance again</w:t>
      </w:r>
    </w:p>
    <w:p>
      <w:pPr>
        <w:pStyle w:val="FirstParagraph"/>
      </w:pPr>
      <w:r>
        <w:t xml:space="preserve">A modest headline beat without stronger forward indicators may not be enough given the valuation and elevated expectations.</w:t>
      </w:r>
    </w:p>
    <w:p>
      <w:r>
        <w:pict>
          <v:rect style="width:0;height:1.5pt" o:hralign="center" o:hrstd="t" o:hr="t"/>
        </w:pict>
      </w:r>
    </w:p>
    <w:bookmarkEnd w:id="9"/>
    <w:bookmarkStart w:id="11" w:name="expectations-going-into-the-print"/>
    <w:p>
      <w:pPr>
        <w:pStyle w:val="Heading2"/>
      </w:pPr>
      <w:r>
        <w:t xml:space="preserve">Expectations going into the print</w:t>
      </w:r>
    </w:p>
    <w:p>
      <w:pPr>
        <w:pStyle w:val="FirstParagraph"/>
      </w:pPr>
      <w:r>
        <w:t xml:space="preserve">Latest market expectations indicate approximately:</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Q2 consensus</w:t>
            </w:r>
          </w:p>
        </w:tc>
      </w:tr>
      <w:tr>
        <w:tc>
          <w:tcPr/>
          <w:p>
            <w:pPr>
              <w:pStyle w:val="Compact"/>
            </w:pPr>
            <w:r>
              <w:t xml:space="preserve">Revenue</w:t>
            </w:r>
          </w:p>
        </w:tc>
        <w:tc>
          <w:tcPr/>
          <w:p>
            <w:pPr>
              <w:pStyle w:val="Compact"/>
              <w:jc w:val="right"/>
            </w:pPr>
            <w:r>
              <w:rPr>
                <w:b/>
                <w:bCs/>
              </w:rPr>
              <w:t xml:space="preserve">$10.8B</w:t>
            </w:r>
          </w:p>
        </w:tc>
      </w:tr>
      <w:tr>
        <w:tc>
          <w:tcPr/>
          <w:p>
            <w:pPr>
              <w:pStyle w:val="Compact"/>
            </w:pPr>
            <w:r>
              <w:t xml:space="preserve">Adjusted EBITDA</w:t>
            </w:r>
          </w:p>
        </w:tc>
        <w:tc>
          <w:tcPr/>
          <w:p>
            <w:pPr>
              <w:pStyle w:val="Compact"/>
              <w:jc w:val="right"/>
            </w:pPr>
            <w:r>
              <w:rPr>
                <w:b/>
                <w:bCs/>
              </w:rPr>
              <w:t xml:space="preserve">$1.29B</w:t>
            </w:r>
          </w:p>
        </w:tc>
      </w:tr>
      <w:tr>
        <w:tc>
          <w:tcPr/>
          <w:p>
            <w:pPr>
              <w:pStyle w:val="Compact"/>
            </w:pPr>
            <w:r>
              <w:t xml:space="preserve">Adjusted EBITDA margin</w:t>
            </w:r>
          </w:p>
        </w:tc>
        <w:tc>
          <w:tcPr/>
          <w:p>
            <w:pPr>
              <w:pStyle w:val="Compact"/>
              <w:jc w:val="right"/>
            </w:pPr>
            <w:r>
              <w:rPr>
                <w:b/>
                <w:bCs/>
              </w:rPr>
              <w:t xml:space="preserve">~11.9%</w:t>
            </w:r>
          </w:p>
        </w:tc>
      </w:tr>
      <w:tr>
        <w:tc>
          <w:tcPr/>
          <w:p>
            <w:pPr>
              <w:pStyle w:val="Compact"/>
            </w:pPr>
            <w:r>
              <w:t xml:space="preserve">EPS</w:t>
            </w:r>
          </w:p>
        </w:tc>
        <w:tc>
          <w:tcPr/>
          <w:p>
            <w:pPr>
              <w:pStyle w:val="Compact"/>
              <w:jc w:val="right"/>
            </w:pPr>
            <w:r>
              <w:rPr>
                <w:b/>
                <w:bCs/>
              </w:rPr>
              <w:t xml:space="preserve">~$3.10</w:t>
            </w:r>
          </w:p>
        </w:tc>
      </w:tr>
    </w:tbl>
    <w:p>
      <w:pPr>
        <w:pStyle w:val="BodyText"/>
      </w:pPr>
      <w:r>
        <w:t xml:space="preserve">For comparison, Q2 2025 produced $9.1 billion of revenue, $770 million of adjusted EBITDA and an 8.5% adjusted EBITDA margin. Consensus therefore implies roughly</w:t>
      </w:r>
      <w:r>
        <w:t xml:space="preserve"> </w:t>
      </w:r>
      <w:r>
        <w:rPr>
          <w:b/>
          <w:bCs/>
        </w:rPr>
        <w:t xml:space="preserve">19% revenue growth, 68% EBITDA growth and approximately 340 basis points of margin expansion</w:t>
      </w:r>
      <w:r>
        <w:t xml:space="preserve">.</w:t>
      </w:r>
    </w:p>
    <w:p>
      <w:pPr>
        <w:pStyle w:val="BodyText"/>
      </w:pPr>
      <w:r>
        <w:t xml:space="preserve">Investors should emphasize EBITDA, segment margins and cash flow over GAAP EPS. First-quarter GAAP earnings were heavily affected by the roughly $4 billion remeasurement gain associated with the Prolec GE acquisition.</w:t>
      </w:r>
    </w:p>
    <w:bookmarkStart w:id="10" w:name="managements-existing-q2-framework"/>
    <w:p>
      <w:pPr>
        <w:pStyle w:val="Heading3"/>
      </w:pPr>
      <w:r>
        <w:t xml:space="preserve">Management’s existing Q2 framework</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Segment</w:t>
            </w:r>
          </w:p>
        </w:tc>
        <w:tc>
          <w:tcPr/>
          <w:p>
            <w:pPr>
              <w:pStyle w:val="Compact"/>
            </w:pPr>
            <w:r>
              <w:t xml:space="preserve">Prior Q2 outlook</w:t>
            </w:r>
          </w:p>
        </w:tc>
      </w:tr>
      <w:tr>
        <w:tc>
          <w:tcPr/>
          <w:p>
            <w:pPr>
              <w:pStyle w:val="Compact"/>
            </w:pPr>
            <w:r>
              <w:rPr>
                <w:b/>
                <w:bCs/>
              </w:rPr>
              <w:t xml:space="preserve">Power</w:t>
            </w:r>
          </w:p>
        </w:tc>
        <w:tc>
          <w:tcPr/>
          <w:p>
            <w:pPr>
              <w:pStyle w:val="Compact"/>
            </w:pPr>
            <w:r>
              <w:t xml:space="preserve">Revenue growth of</w:t>
            </w:r>
            <w:r>
              <w:t xml:space="preserve"> </w:t>
            </w:r>
            <w:r>
              <w:rPr>
                <w:b/>
                <w:bCs/>
              </w:rPr>
              <w:t xml:space="preserve">15%–17%</w:t>
            </w:r>
            <w:r>
              <w:t xml:space="preserve">; EBITDA margin of</w:t>
            </w:r>
            <w:r>
              <w:t xml:space="preserve"> </w:t>
            </w:r>
            <w:r>
              <w:rPr>
                <w:b/>
                <w:bCs/>
              </w:rPr>
              <w:t xml:space="preserve">17%–18%</w:t>
            </w:r>
          </w:p>
        </w:tc>
      </w:tr>
      <w:tr>
        <w:tc>
          <w:tcPr/>
          <w:p>
            <w:pPr>
              <w:pStyle w:val="Compact"/>
            </w:pPr>
            <w:r>
              <w:rPr>
                <w:b/>
                <w:bCs/>
              </w:rPr>
              <w:t xml:space="preserve">Electrification</w:t>
            </w:r>
          </w:p>
        </w:tc>
        <w:tc>
          <w:tcPr/>
          <w:p>
            <w:pPr>
              <w:pStyle w:val="Compact"/>
            </w:pPr>
            <w:r>
              <w:t xml:space="preserve">Revenue of</w:t>
            </w:r>
            <w:r>
              <w:t xml:space="preserve"> </w:t>
            </w:r>
            <m:oMath>
              <m:r>
                <m:t>3.3</m:t>
              </m:r>
              <m:r>
                <m:t>B</m:t>
              </m:r>
              <m:r>
                <m:rPr>
                  <m:sty m:val="p"/>
                </m:rPr>
                <m:t>–</m:t>
              </m:r>
            </m:oMath>
            <w:r>
              <w:rPr>
                <w:b/>
                <w:bCs/>
              </w:rPr>
              <w:t xml:space="preserve">3.5B</w:t>
            </w:r>
            <w:r>
              <w:t xml:space="preserve">; margin modestly above Q1’s</w:t>
            </w:r>
            <w:r>
              <w:t xml:space="preserve"> </w:t>
            </w:r>
            <w:r>
              <w:rPr>
                <w:b/>
                <w:bCs/>
              </w:rPr>
              <w:t xml:space="preserve">17.8%</w:t>
            </w:r>
          </w:p>
        </w:tc>
      </w:tr>
      <w:tr>
        <w:tc>
          <w:tcPr/>
          <w:p>
            <w:pPr>
              <w:pStyle w:val="Compact"/>
            </w:pPr>
            <w:r>
              <w:rPr>
                <w:b/>
                <w:bCs/>
              </w:rPr>
              <w:t xml:space="preserve">Wind</w:t>
            </w:r>
          </w:p>
        </w:tc>
        <w:tc>
          <w:tcPr/>
          <w:p>
            <w:pPr>
              <w:pStyle w:val="Compact"/>
            </w:pPr>
            <w:r>
              <w:t xml:space="preserve">Revenue down at a</w:t>
            </w:r>
            <w:r>
              <w:t xml:space="preserve"> </w:t>
            </w:r>
            <w:r>
              <w:rPr>
                <w:b/>
                <w:bCs/>
              </w:rPr>
              <w:t xml:space="preserve">mid-teens</w:t>
            </w:r>
            <w:r>
              <w:t xml:space="preserve"> </w:t>
            </w:r>
            <w:r>
              <w:t xml:space="preserve">rate; EBITDA loss of</w:t>
            </w:r>
            <w:r>
              <w:t xml:space="preserve"> </w:t>
            </w:r>
            <m:oMath>
              <m:r>
                <m:t>200</m:t>
              </m:r>
              <m:r>
                <m:t>M</m:t>
              </m:r>
              <m:r>
                <m:rPr>
                  <m:sty m:val="p"/>
                </m:rPr>
                <m:t>–</m:t>
              </m:r>
            </m:oMath>
            <w:r>
              <w:rPr>
                <w:b/>
                <w:bCs/>
              </w:rPr>
              <w:t xml:space="preserve">300M</w:t>
            </w:r>
          </w:p>
        </w:tc>
      </w:tr>
      <w:tr>
        <w:tc>
          <w:tcPr/>
          <w:p>
            <w:pPr>
              <w:pStyle w:val="Compact"/>
            </w:pPr>
            <w:r>
              <w:rPr>
                <w:b/>
                <w:bCs/>
              </w:rPr>
              <w:t xml:space="preserve">Company</w:t>
            </w:r>
          </w:p>
        </w:tc>
        <w:tc>
          <w:tcPr/>
          <w:p>
            <w:pPr>
              <w:pStyle w:val="Compact"/>
            </w:pPr>
            <w:r>
              <w:t xml:space="preserve">Year-over-year revenue growth and margin expansion;</w:t>
            </w:r>
            <w:r>
              <w:t xml:space="preserve"> </w:t>
            </w:r>
            <w:r>
              <w:rPr>
                <w:b/>
                <w:bCs/>
              </w:rPr>
              <w:t xml:space="preserve">positive free cash flow</w:t>
            </w:r>
          </w:p>
        </w:tc>
      </w:tr>
    </w:tbl>
    <w:p>
      <w:pPr>
        <w:pStyle w:val="BodyText"/>
      </w:pPr>
      <w:r>
        <w:t xml:space="preserve">These targets broadly support the current consensus. The more important issue is whether results land near the upper ends and whether management signals further acceleration.</w:t>
      </w:r>
    </w:p>
    <w:p>
      <w:r>
        <w:pict>
          <v:rect style="width:0;height:1.5pt" o:hralign="center" o:hrstd="t" o:hr="t"/>
        </w:pict>
      </w:r>
    </w:p>
    <w:bookmarkEnd w:id="10"/>
    <w:bookmarkEnd w:id="11"/>
    <w:bookmarkStart w:id="13" w:name="X131293844044bbc154ecb4ac3b3e94c472d066f"/>
    <w:p>
      <w:pPr>
        <w:pStyle w:val="Heading2"/>
      </w:pPr>
      <w:r>
        <w:t xml:space="preserve">1. Gas Power: orders may matter more than revenue</w:t>
      </w:r>
    </w:p>
    <w:p>
      <w:pPr>
        <w:pStyle w:val="FirstParagraph"/>
      </w:pPr>
      <w:r>
        <w:t xml:space="preserve">Gas Power remains the most important driver of investor expectations.</w:t>
      </w:r>
    </w:p>
    <w:p>
      <w:pPr>
        <w:pStyle w:val="BodyText"/>
      </w:pPr>
      <w:r>
        <w:t xml:space="preserve">At the end of Q1, GE Vernova had</w:t>
      </w:r>
      <w:r>
        <w:t xml:space="preserve"> </w:t>
      </w:r>
      <w:r>
        <w:rPr>
          <w:b/>
          <w:bCs/>
        </w:rPr>
        <w:t xml:space="preserve">100 GW under contract</w:t>
      </w:r>
      <w:r>
        <w:t xml:space="preserve">, consisting of 44 GW in backlog and 56 GW in slot reservation agreements. Management expected:</w:t>
      </w:r>
    </w:p>
    <w:p>
      <w:pPr>
        <w:pStyle w:val="Compact"/>
        <w:numPr>
          <w:ilvl w:val="0"/>
          <w:numId w:val="1002"/>
        </w:numPr>
      </w:pPr>
      <w:r>
        <w:rPr>
          <w:b/>
          <w:bCs/>
        </w:rPr>
        <w:t xml:space="preserve">10–15 GW of new contracts in Q2</w:t>
      </w:r>
    </w:p>
    <w:p>
      <w:pPr>
        <w:pStyle w:val="Compact"/>
        <w:numPr>
          <w:ilvl w:val="0"/>
          <w:numId w:val="1002"/>
        </w:numPr>
      </w:pPr>
      <w:r>
        <w:t xml:space="preserve">At least</w:t>
      </w:r>
      <w:r>
        <w:t xml:space="preserve"> </w:t>
      </w:r>
      <w:r>
        <w:rPr>
          <w:b/>
          <w:bCs/>
        </w:rPr>
        <w:t xml:space="preserve">110 GW under contract by year-end</w:t>
      </w:r>
    </w:p>
    <w:p>
      <w:pPr>
        <w:pStyle w:val="Compact"/>
        <w:numPr>
          <w:ilvl w:val="0"/>
          <w:numId w:val="1002"/>
        </w:numPr>
      </w:pPr>
      <w:r>
        <w:t xml:space="preserve">First-half order pricing</w:t>
      </w:r>
      <w:r>
        <w:t xml:space="preserve"> </w:t>
      </w:r>
      <w:r>
        <w:rPr>
          <w:b/>
          <w:bCs/>
        </w:rPr>
        <w:t xml:space="preserve">10–20 percentage points above Q4 2025</w:t>
      </w:r>
      <w:r>
        <w:t xml:space="preserve"> </w:t>
      </w:r>
      <w:r>
        <w:t xml:space="preserve">on a dollar-per-kilowatt basis</w:t>
      </w:r>
    </w:p>
    <w:p>
      <w:pPr>
        <w:pStyle w:val="Compact"/>
        <w:numPr>
          <w:ilvl w:val="0"/>
          <w:numId w:val="1002"/>
        </w:numPr>
      </w:pPr>
      <w:r>
        <w:t xml:space="preserve">Annualized manufacturing capacity of approximately</w:t>
      </w:r>
      <w:r>
        <w:t xml:space="preserve"> </w:t>
      </w:r>
      <w:r>
        <w:rPr>
          <w:b/>
          <w:bCs/>
        </w:rPr>
        <w:t xml:space="preserve">20 GW by Q3 2026</w:t>
      </w:r>
    </w:p>
    <w:p>
      <w:pPr>
        <w:pStyle w:val="Compact"/>
        <w:numPr>
          <w:ilvl w:val="0"/>
          <w:numId w:val="1002"/>
        </w:numPr>
      </w:pPr>
      <w:r>
        <w:t xml:space="preserve">A subsequent increase to approximately</w:t>
      </w:r>
      <w:r>
        <w:t xml:space="preserve"> </w:t>
      </w:r>
      <w:r>
        <w:rPr>
          <w:b/>
          <w:bCs/>
        </w:rPr>
        <w:t xml:space="preserve">24 GW in 2028</w:t>
      </w:r>
    </w:p>
    <w:p>
      <w:pPr>
        <w:pStyle w:val="FirstParagraph"/>
      </w:pPr>
      <w:r>
        <w:t xml:space="preserve">Management also said that April Power equipment orders by value had already exceeded the entire first quarter. That sets a high bar for reported Q2 orders.</w:t>
      </w:r>
    </w:p>
    <w:bookmarkStart w:id="12" w:name="what-would-constitute-a-strong-update"/>
    <w:p>
      <w:pPr>
        <w:pStyle w:val="Heading3"/>
      </w:pPr>
      <w:r>
        <w:t xml:space="preserve">What would constitute a strong update?</w:t>
      </w:r>
    </w:p>
    <w:p>
      <w:pPr>
        <w:pStyle w:val="Compact"/>
        <w:numPr>
          <w:ilvl w:val="0"/>
          <w:numId w:val="1003"/>
        </w:numPr>
      </w:pPr>
      <w:r>
        <w:t xml:space="preserve">Total gas contracts at or above the upper end of the</w:t>
      </w:r>
      <w:r>
        <w:t xml:space="preserve"> </w:t>
      </w:r>
      <w:r>
        <w:rPr>
          <w:b/>
          <w:bCs/>
        </w:rPr>
        <w:t xml:space="preserve">110–115 GW</w:t>
      </w:r>
      <w:r>
        <w:t xml:space="preserve"> </w:t>
      </w:r>
      <w:r>
        <w:t xml:space="preserve">implied Q2 range</w:t>
      </w:r>
    </w:p>
    <w:p>
      <w:pPr>
        <w:pStyle w:val="Compact"/>
        <w:numPr>
          <w:ilvl w:val="0"/>
          <w:numId w:val="1003"/>
        </w:numPr>
      </w:pPr>
      <w:r>
        <w:t xml:space="preserve">Continued growth in both firm backlog and slot reservations</w:t>
      </w:r>
    </w:p>
    <w:p>
      <w:pPr>
        <w:pStyle w:val="Compact"/>
        <w:numPr>
          <w:ilvl w:val="0"/>
          <w:numId w:val="1003"/>
        </w:numPr>
      </w:pPr>
      <w:r>
        <w:t xml:space="preserve">Confirmation that pricing remains 10–20 points above late-2025 levels</w:t>
      </w:r>
    </w:p>
    <w:p>
      <w:pPr>
        <w:pStyle w:val="Compact"/>
        <w:numPr>
          <w:ilvl w:val="0"/>
          <w:numId w:val="1003"/>
        </w:numPr>
      </w:pPr>
      <w:r>
        <w:t xml:space="preserve">Evidence that slot reservations are converting into firm orders without delays or concessions</w:t>
      </w:r>
    </w:p>
    <w:p>
      <w:pPr>
        <w:pStyle w:val="Compact"/>
        <w:numPr>
          <w:ilvl w:val="0"/>
          <w:numId w:val="1003"/>
        </w:numPr>
      </w:pPr>
      <w:r>
        <w:t xml:space="preserve">Capacity reaching 20 GW on schedule, with additional lean-driven upside</w:t>
      </w:r>
    </w:p>
    <w:p>
      <w:pPr>
        <w:pStyle w:val="Compact"/>
        <w:numPr>
          <w:ilvl w:val="0"/>
          <w:numId w:val="1003"/>
        </w:numPr>
      </w:pPr>
      <w:r>
        <w:t xml:space="preserve">Progress on longer-term framework agreements for 2031–2035 deliveries</w:t>
      </w:r>
    </w:p>
    <w:p>
      <w:pPr>
        <w:pStyle w:val="FirstParagraph"/>
      </w:pPr>
      <w:r>
        <w:t xml:space="preserve">GEV had been discussing approximately 30–35 potential framework agreements but had not signed one as of the Q1 call. A framework agreement with a hyperscaler, utility or independent power producer would be a meaningful positive because it would extend visibility beyond the current order cycle.</w:t>
      </w:r>
    </w:p>
    <w:p>
      <w:pPr>
        <w:pStyle w:val="BodyText"/>
      </w:pPr>
      <w:r>
        <w:t xml:space="preserve">Investors should also listen for any change in the mix of demand. At Q1, roughly</w:t>
      </w:r>
      <w:r>
        <w:t xml:space="preserve"> </w:t>
      </w:r>
      <w:r>
        <w:rPr>
          <w:b/>
          <w:bCs/>
        </w:rPr>
        <w:t xml:space="preserve">20% of contracted gas capacity explicitly supported data centers</w:t>
      </w:r>
      <w:r>
        <w:t xml:space="preserve">, with the remaining 80% tied to traditional customers. Diversified utility and international demand would make the cycle more durable than a story dependent solely on hyperscaler spending.</w:t>
      </w:r>
    </w:p>
    <w:p>
      <w:r>
        <w:pict>
          <v:rect style="width:0;height:1.5pt" o:hralign="center" o:hrstd="t" o:hr="t"/>
        </w:pict>
      </w:r>
    </w:p>
    <w:bookmarkEnd w:id="12"/>
    <w:bookmarkEnd w:id="13"/>
    <w:bookmarkStart w:id="15" w:name="Xc642059a77d99d498e864c7ea316cfea48d3336"/>
    <w:p>
      <w:pPr>
        <w:pStyle w:val="Heading2"/>
      </w:pPr>
      <w:r>
        <w:t xml:space="preserve">2. Electrification: the fastest-growing earnings engine</w:t>
      </w:r>
    </w:p>
    <w:p>
      <w:pPr>
        <w:pStyle w:val="FirstParagraph"/>
      </w:pPr>
      <w:r>
        <w:t xml:space="preserve">Electrification may produce the most important margin read-through.</w:t>
      </w:r>
    </w:p>
    <w:p>
      <w:pPr>
        <w:pStyle w:val="BodyText"/>
      </w:pPr>
      <w:r>
        <w:t xml:space="preserve">Q1 orders reached approximately</w:t>
      </w:r>
      <w:r>
        <w:t xml:space="preserve"> </w:t>
      </w:r>
      <m:oMath>
        <m:r>
          <m:t>7.1</m:t>
        </m:r>
        <m:r>
          <m:t>b</m:t>
        </m:r>
        <m:r>
          <m:t>i</m:t>
        </m:r>
        <m:r>
          <m:t>l</m:t>
        </m:r>
        <m:r>
          <m:t>l</m:t>
        </m:r>
        <m:r>
          <m:t>i</m:t>
        </m:r>
        <m:r>
          <m:t>o</m:t>
        </m:r>
        <m:r>
          <m:t>n</m:t>
        </m:r>
        <m:r>
          <m:rPr>
            <m:sty m:val="p"/>
          </m:rPr>
          <m:t>*</m:t>
        </m:r>
        <m:r>
          <m:rPr>
            <m:sty m:val="p"/>
          </m:rPr>
          <m:t>*</m:t>
        </m:r>
        <m:r>
          <m:rPr>
            <m:sty m:val="p"/>
          </m:rPr>
          <m:t>,</m:t>
        </m:r>
        <m:r>
          <m:t>n</m:t>
        </m:r>
        <m:r>
          <m:t>e</m:t>
        </m:r>
        <m:r>
          <m:t>a</m:t>
        </m:r>
        <m:r>
          <m:t>r</m:t>
        </m:r>
        <m:r>
          <m:t>l</m:t>
        </m:r>
        <m:r>
          <m:t>y</m:t>
        </m:r>
        <m:r>
          <m:t>2.5</m:t>
        </m:r>
        <m:r>
          <m:t>t</m:t>
        </m:r>
        <m:r>
          <m:t>i</m:t>
        </m:r>
        <m:r>
          <m:t>m</m:t>
        </m:r>
        <m:r>
          <m:t>e</m:t>
        </m:r>
        <m:r>
          <m:t>s</m:t>
        </m:r>
        <m:r>
          <m:t>r</m:t>
        </m:r>
        <m:r>
          <m:t>e</m:t>
        </m:r>
        <m:r>
          <m:t>v</m:t>
        </m:r>
        <m:r>
          <m:t>e</m:t>
        </m:r>
        <m:r>
          <m:t>n</m:t>
        </m:r>
        <m:r>
          <m:t>u</m:t>
        </m:r>
        <m:r>
          <m:t>e</m:t>
        </m:r>
        <m:r>
          <m:rPr>
            <m:sty m:val="p"/>
          </m:rPr>
          <m:t>,</m:t>
        </m:r>
        <m:r>
          <m:t>w</m:t>
        </m:r>
        <m:r>
          <m:t>h</m:t>
        </m:r>
        <m:r>
          <m:t>i</m:t>
        </m:r>
        <m:r>
          <m:t>l</m:t>
        </m:r>
        <m:r>
          <m:t>e</m:t>
        </m:r>
        <m:r>
          <m:t>e</m:t>
        </m:r>
        <m:r>
          <m:t>q</m:t>
        </m:r>
        <m:r>
          <m:t>u</m:t>
        </m:r>
        <m:r>
          <m:t>i</m:t>
        </m:r>
        <m:r>
          <m:t>p</m:t>
        </m:r>
        <m:r>
          <m:t>m</m:t>
        </m:r>
        <m:r>
          <m:t>e</m:t>
        </m:r>
        <m:r>
          <m:t>n</m:t>
        </m:r>
        <m:r>
          <m:t>t</m:t>
        </m:r>
        <m:r>
          <m:t>b</m:t>
        </m:r>
        <m:r>
          <m:t>a</m:t>
        </m:r>
        <m:r>
          <m:t>c</m:t>
        </m:r>
        <m:r>
          <m:t>k</m:t>
        </m:r>
        <m:r>
          <m:t>l</m:t>
        </m:r>
        <m:r>
          <m:t>o</m:t>
        </m:r>
        <m:r>
          <m:t>g</m:t>
        </m:r>
        <m:r>
          <m:t>g</m:t>
        </m:r>
        <m:r>
          <m:t>r</m:t>
        </m:r>
        <m:r>
          <m:t>e</m:t>
        </m:r>
        <m:r>
          <m:t>w</m:t>
        </m:r>
        <m:r>
          <m:t>t</m:t>
        </m:r>
        <m:r>
          <m:t>o</m:t>
        </m:r>
        <m:r>
          <m:t>a</m:t>
        </m:r>
        <m:r>
          <m:t>p</m:t>
        </m:r>
        <m:r>
          <m:t>p</m:t>
        </m:r>
        <m:r>
          <m:t>r</m:t>
        </m:r>
        <m:r>
          <m:t>o</m:t>
        </m:r>
        <m:r>
          <m:t>x</m:t>
        </m:r>
        <m:r>
          <m:t>i</m:t>
        </m:r>
        <m:r>
          <m:t>m</m:t>
        </m:r>
        <m:r>
          <m:t>a</m:t>
        </m:r>
        <m:r>
          <m:t>t</m:t>
        </m:r>
        <m:r>
          <m:t>e</m:t>
        </m:r>
        <m:r>
          <m:t>l</m:t>
        </m:r>
        <m:r>
          <m:t>y</m:t>
        </m:r>
        <m:r>
          <m:rPr>
            <m:sty m:val="p"/>
          </m:rPr>
          <m:t>*</m:t>
        </m:r>
        <m:r>
          <m:rPr>
            <m:sty m:val="p"/>
          </m:rPr>
          <m:t>*</m:t>
        </m:r>
      </m:oMath>
      <w:r>
        <w:rPr>
          <w:b/>
          <w:bCs/>
        </w:rPr>
        <w:t xml:space="preserve">39 billion</w:t>
      </w:r>
      <w:r>
        <w:t xml:space="preserve">. Data-center-related orders were $2.4 billion—more than the segment booked from data centers in all of 2025.</w:t>
      </w:r>
    </w:p>
    <w:p>
      <w:pPr>
        <w:pStyle w:val="BodyText"/>
      </w:pPr>
      <w:r>
        <w:t xml:space="preserve">Q2 guidance calls for:</w:t>
      </w:r>
    </w:p>
    <w:p>
      <w:pPr>
        <w:pStyle w:val="Compact"/>
        <w:numPr>
          <w:ilvl w:val="0"/>
          <w:numId w:val="1004"/>
        </w:numPr>
      </w:pPr>
      <w:r>
        <w:t xml:space="preserve">Revenue of</w:t>
      </w:r>
      <w:r>
        <w:t xml:space="preserve"> </w:t>
      </w:r>
      <m:oMath>
        <m:r>
          <m:t>3.3</m:t>
        </m:r>
        <m:r>
          <m:t>B</m:t>
        </m:r>
        <m:r>
          <m:rPr>
            <m:sty m:val="p"/>
          </m:rPr>
          <m:t>–</m:t>
        </m:r>
      </m:oMath>
      <w:r>
        <w:rPr>
          <w:b/>
          <w:bCs/>
        </w:rPr>
        <w:t xml:space="preserve">3.5B</w:t>
      </w:r>
    </w:p>
    <w:p>
      <w:pPr>
        <w:pStyle w:val="Compact"/>
        <w:numPr>
          <w:ilvl w:val="0"/>
          <w:numId w:val="1004"/>
        </w:numPr>
      </w:pPr>
      <w:r>
        <w:t xml:space="preserve">EBITDA margin modestly above</w:t>
      </w:r>
      <w:r>
        <w:t xml:space="preserve"> </w:t>
      </w:r>
      <w:r>
        <w:rPr>
          <w:b/>
          <w:bCs/>
        </w:rPr>
        <w:t xml:space="preserve">17.8%</w:t>
      </w:r>
    </w:p>
    <w:p>
      <w:pPr>
        <w:pStyle w:val="Compact"/>
        <w:numPr>
          <w:ilvl w:val="0"/>
          <w:numId w:val="1004"/>
        </w:numPr>
      </w:pPr>
      <w:r>
        <w:t xml:space="preserve">Continued healthy equipment orders</w:t>
      </w:r>
    </w:p>
    <w:p>
      <w:pPr>
        <w:pStyle w:val="FirstParagraph"/>
      </w:pPr>
      <w:r>
        <w:t xml:space="preserve">The segment now benefits from Prolec GE, which contributed nearly</w:t>
      </w:r>
      <w:r>
        <w:t xml:space="preserve"> </w:t>
      </w:r>
      <m:oMath>
        <m:r>
          <m:t>500</m:t>
        </m:r>
        <m:r>
          <m:t>m</m:t>
        </m:r>
        <m:r>
          <m:t>i</m:t>
        </m:r>
        <m:r>
          <m:t>l</m:t>
        </m:r>
        <m:r>
          <m:t>l</m:t>
        </m:r>
        <m:r>
          <m:t>i</m:t>
        </m:r>
        <m:r>
          <m:t>o</m:t>
        </m:r>
        <m:r>
          <m:t>n</m:t>
        </m:r>
        <m:r>
          <m:t>o</m:t>
        </m:r>
        <m:r>
          <m:t>f</m:t>
        </m:r>
        <m:r>
          <m:t>Q</m:t>
        </m:r>
        <m:r>
          <m:t>1</m:t>
        </m:r>
        <m:r>
          <m:t>r</m:t>
        </m:r>
        <m:r>
          <m:t>e</m:t>
        </m:r>
        <m:r>
          <m:t>v</m:t>
        </m:r>
        <m:r>
          <m:t>e</m:t>
        </m:r>
        <m:r>
          <m:t>n</m:t>
        </m:r>
        <m:r>
          <m:t>u</m:t>
        </m:r>
        <m:r>
          <m:t>e</m:t>
        </m:r>
        <m:r>
          <m:t>a</m:t>
        </m:r>
        <m:r>
          <m:t>t</m:t>
        </m:r>
        <m:r>
          <m:t>a</m:t>
        </m:r>
        <m:r>
          <m:t>l</m:t>
        </m:r>
        <m:r>
          <m:t>i</m:t>
        </m:r>
        <m:r>
          <m:t>t</m:t>
        </m:r>
        <m:r>
          <m:t>t</m:t>
        </m:r>
        <m:r>
          <m:t>l</m:t>
        </m:r>
        <m:r>
          <m:t>e</m:t>
        </m:r>
        <m:r>
          <m:t>o</m:t>
        </m:r>
        <m:r>
          <m:t>v</m:t>
        </m:r>
        <m:r>
          <m:t>e</m:t>
        </m:r>
        <m:r>
          <m:t>r</m:t>
        </m:r>
        <m:r>
          <m:t>a</m:t>
        </m:r>
        <m:r>
          <m:t>20</m:t>
        </m:r>
      </m:oMath>
      <w:r>
        <w:t xml:space="preserve">3 billion of Prolec revenue in 2026**.</w:t>
      </w:r>
    </w:p>
    <w:bookmarkStart w:id="14" w:name="key-questions"/>
    <w:p>
      <w:pPr>
        <w:pStyle w:val="Heading3"/>
      </w:pPr>
      <w:r>
        <w:t xml:space="preserve">Key questions</w:t>
      </w:r>
    </w:p>
    <w:p>
      <w:pPr>
        <w:pStyle w:val="Compact"/>
        <w:numPr>
          <w:ilvl w:val="0"/>
          <w:numId w:val="1005"/>
        </w:numPr>
      </w:pPr>
      <w:r>
        <w:t xml:space="preserve">Does Electrification revenue exceed $3.5 billion?</w:t>
      </w:r>
    </w:p>
    <w:p>
      <w:pPr>
        <w:pStyle w:val="Compact"/>
        <w:numPr>
          <w:ilvl w:val="0"/>
          <w:numId w:val="1005"/>
        </w:numPr>
      </w:pPr>
      <w:r>
        <w:t xml:space="preserve">Can margins move meaningfully above 18%, rather than merely clearing the Q1 level?</w:t>
      </w:r>
    </w:p>
    <w:p>
      <w:pPr>
        <w:pStyle w:val="Compact"/>
        <w:numPr>
          <w:ilvl w:val="0"/>
          <w:numId w:val="1005"/>
        </w:numPr>
      </w:pPr>
      <w:r>
        <w:t xml:space="preserve">Are data-center orders holding near Q1’s extraordinary pace?</w:t>
      </w:r>
    </w:p>
    <w:p>
      <w:pPr>
        <w:pStyle w:val="Compact"/>
        <w:numPr>
          <w:ilvl w:val="0"/>
          <w:numId w:val="1005"/>
        </w:numPr>
      </w:pPr>
      <w:r>
        <w:t xml:space="preserve">Is Prolec maintaining a 20%-plus margin while capacity expands?</w:t>
      </w:r>
    </w:p>
    <w:p>
      <w:pPr>
        <w:pStyle w:val="Compact"/>
        <w:numPr>
          <w:ilvl w:val="0"/>
          <w:numId w:val="1005"/>
        </w:numPr>
      </w:pPr>
      <w:r>
        <w:t xml:space="preserve">Are transformer and switchgear lead times supporting continued pricing?</w:t>
      </w:r>
    </w:p>
    <w:p>
      <w:pPr>
        <w:pStyle w:val="Compact"/>
        <w:numPr>
          <w:ilvl w:val="0"/>
          <w:numId w:val="1005"/>
        </w:numPr>
      </w:pPr>
      <w:r>
        <w:t xml:space="preserve">Is demand spreading beyond North America into Asia, Europe and the Middle East?</w:t>
      </w:r>
    </w:p>
    <w:p>
      <w:pPr>
        <w:pStyle w:val="FirstParagraph"/>
      </w:pPr>
      <w:r>
        <w:t xml:space="preserve">Management should also update new data-center products. It had booked initial energy-management-system orders, expected potential stability-block orders in the second half, and planned to deliver its first solid-state transformer prototype to a hyperscaler this fall.</w:t>
      </w:r>
    </w:p>
    <w:p>
      <w:pPr>
        <w:pStyle w:val="BodyText"/>
      </w:pPr>
      <w:r>
        <w:t xml:space="preserve">These products are strategically important because they expand GEV’s addressable content from the power plant and substation toward equipment inside the data center.</w:t>
      </w:r>
    </w:p>
    <w:p>
      <w:r>
        <w:pict>
          <v:rect style="width:0;height:1.5pt" o:hralign="center" o:hrstd="t" o:hr="t"/>
        </w:pict>
      </w:r>
    </w:p>
    <w:bookmarkEnd w:id="14"/>
    <w:bookmarkEnd w:id="15"/>
    <w:bookmarkStart w:id="17" w:name="X92a37494d0feaf9ea43dda6baf93096c1d835c0"/>
    <w:p>
      <w:pPr>
        <w:pStyle w:val="Heading2"/>
      </w:pPr>
      <w:r>
        <w:t xml:space="preserve">3. Wind: the principal execution risk</w:t>
      </w:r>
    </w:p>
    <w:p>
      <w:pPr>
        <w:pStyle w:val="FirstParagraph"/>
      </w:pPr>
      <w:r>
        <w:t xml:space="preserve">Wind remains the weak link and the largest source of quarterly uncertainty.</w:t>
      </w:r>
    </w:p>
    <w:p>
      <w:pPr>
        <w:pStyle w:val="BodyText"/>
      </w:pPr>
      <w:r>
        <w:t xml:space="preserve">Management expects a</w:t>
      </w:r>
      <w:r>
        <w:t xml:space="preserve"> </w:t>
      </w:r>
      <m:oMath>
        <m:r>
          <m:t>200</m:t>
        </m:r>
        <m:r>
          <m:t>M</m:t>
        </m:r>
        <m:r>
          <m:rPr>
            <m:sty m:val="p"/>
          </m:rPr>
          <m:t>–</m:t>
        </m:r>
      </m:oMath>
      <w:r>
        <w:rPr>
          <w:b/>
          <w:bCs/>
        </w:rPr>
        <w:t xml:space="preserve">300M Q2 EBITDA loss</w:t>
      </w:r>
      <w:r>
        <w:t xml:space="preserve">, compared with a $165 million loss last year. Lower Onshore equipment shipments, tariff costs and continuing Offshore project execution are the main pressures.</w:t>
      </w:r>
    </w:p>
    <w:p>
      <w:pPr>
        <w:pStyle w:val="BodyText"/>
      </w:pPr>
      <w:r>
        <w:t xml:space="preserve">The company nevertheless continues to forecast an approximately</w:t>
      </w:r>
      <w:r>
        <w:t xml:space="preserve"> </w:t>
      </w:r>
      <w:r>
        <w:rPr>
          <w:b/>
          <w:bCs/>
        </w:rPr>
        <w:t xml:space="preserve">$400 million full-year Wind loss</w:t>
      </w:r>
      <w:r>
        <w:t xml:space="preserve">, implying a pronounced improvement in the second half. Management expects higher Onshore shipments and better contract protections to produce second-half profitability that partially offsets first-half losses.</w:t>
      </w:r>
    </w:p>
    <w:p>
      <w:pPr>
        <w:pStyle w:val="BodyText"/>
      </w:pPr>
      <w:r>
        <w:t xml:space="preserve">That makes Q2 commentary particularly important.</w:t>
      </w:r>
    </w:p>
    <w:bookmarkStart w:id="16" w:name="watch-for"/>
    <w:p>
      <w:pPr>
        <w:pStyle w:val="Heading3"/>
      </w:pPr>
      <w:r>
        <w:t xml:space="preserve">Watch for</w:t>
      </w:r>
    </w:p>
    <w:p>
      <w:pPr>
        <w:pStyle w:val="Compact"/>
        <w:numPr>
          <w:ilvl w:val="0"/>
          <w:numId w:val="1006"/>
        </w:numPr>
      </w:pPr>
      <w:r>
        <w:t xml:space="preserve">A Wind loss within or better than the guided range</w:t>
      </w:r>
    </w:p>
    <w:p>
      <w:pPr>
        <w:pStyle w:val="Compact"/>
        <w:numPr>
          <w:ilvl w:val="0"/>
          <w:numId w:val="1006"/>
        </w:numPr>
      </w:pPr>
      <w:r>
        <w:t xml:space="preserve">Reaffirmation of the approximately $400 million full-year loss</w:t>
      </w:r>
    </w:p>
    <w:p>
      <w:pPr>
        <w:pStyle w:val="Compact"/>
        <w:numPr>
          <w:ilvl w:val="0"/>
          <w:numId w:val="1006"/>
        </w:numPr>
      </w:pPr>
      <w:r>
        <w:t xml:space="preserve">Confidence in the second-half shipment ramp</w:t>
      </w:r>
    </w:p>
    <w:p>
      <w:pPr>
        <w:pStyle w:val="Compact"/>
        <w:numPr>
          <w:ilvl w:val="0"/>
          <w:numId w:val="1006"/>
        </w:numPr>
      </w:pPr>
      <w:r>
        <w:t xml:space="preserve">Progress commissioning Vineyard Wind and Dogger Bank A</w:t>
      </w:r>
    </w:p>
    <w:p>
      <w:pPr>
        <w:pStyle w:val="Compact"/>
        <w:numPr>
          <w:ilvl w:val="0"/>
          <w:numId w:val="1006"/>
        </w:numPr>
      </w:pPr>
      <w:r>
        <w:t xml:space="preserve">Dogger Bank B and C schedule and cost updates</w:t>
      </w:r>
    </w:p>
    <w:p>
      <w:pPr>
        <w:pStyle w:val="Compact"/>
        <w:numPr>
          <w:ilvl w:val="0"/>
          <w:numId w:val="1006"/>
        </w:numPr>
      </w:pPr>
      <w:r>
        <w:t xml:space="preserve">Any change in offshore claims, counterclaims or contract-loss estimates</w:t>
      </w:r>
    </w:p>
    <w:p>
      <w:pPr>
        <w:pStyle w:val="Compact"/>
        <w:numPr>
          <w:ilvl w:val="0"/>
          <w:numId w:val="1006"/>
        </w:numPr>
      </w:pPr>
      <w:r>
        <w:t xml:space="preserve">Better visibility on U.S. Onshore orders following tariff and policy changes</w:t>
      </w:r>
    </w:p>
    <w:p>
      <w:pPr>
        <w:pStyle w:val="FirstParagraph"/>
      </w:pPr>
      <w:r>
        <w:t xml:space="preserve">A Wind loss materially worse than $300 million—or reduced confidence in second-half profitability—could offset otherwise strong Power and Electrification results.</w:t>
      </w:r>
    </w:p>
    <w:p>
      <w:r>
        <w:pict>
          <v:rect style="width:0;height:1.5pt" o:hralign="center" o:hrstd="t" o:hr="t"/>
        </w:pict>
      </w:r>
    </w:p>
    <w:bookmarkEnd w:id="16"/>
    <w:bookmarkEnd w:id="17"/>
    <w:bookmarkStart w:id="18" w:name="X037ddb3b926dc15358fce5284fb5bd84f8dd8ca"/>
    <w:p>
      <w:pPr>
        <w:pStyle w:val="Heading2"/>
      </w:pPr>
      <w:r>
        <w:t xml:space="preserve">4. Free cash flow: strong, but examine the composition</w:t>
      </w:r>
    </w:p>
    <w:p>
      <w:pPr>
        <w:pStyle w:val="FirstParagraph"/>
      </w:pPr>
      <w:r>
        <w:t xml:space="preserve">GEV generated</w:t>
      </w:r>
      <w:r>
        <w:t xml:space="preserve"> </w:t>
      </w:r>
      <m:oMath>
        <m:r>
          <m:t>4.8</m:t>
        </m:r>
        <m:r>
          <m:t>b</m:t>
        </m:r>
        <m:r>
          <m:t>i</m:t>
        </m:r>
        <m:r>
          <m:t>l</m:t>
        </m:r>
        <m:r>
          <m:t>l</m:t>
        </m:r>
        <m:r>
          <m:t>i</m:t>
        </m:r>
        <m:r>
          <m:t>o</m:t>
        </m:r>
        <m:r>
          <m:t>n</m:t>
        </m:r>
        <m:r>
          <m:t>o</m:t>
        </m:r>
        <m:r>
          <m:t>f</m:t>
        </m:r>
        <m:r>
          <m:t>f</m:t>
        </m:r>
        <m:r>
          <m:t>r</m:t>
        </m:r>
        <m:r>
          <m:t>e</m:t>
        </m:r>
        <m:r>
          <m:t>e</m:t>
        </m:r>
        <m:r>
          <m:t>c</m:t>
        </m:r>
        <m:r>
          <m:t>a</m:t>
        </m:r>
        <m:r>
          <m:t>s</m:t>
        </m:r>
        <m:r>
          <m:t>h</m:t>
        </m:r>
        <m:r>
          <m:t>f</m:t>
        </m:r>
        <m:r>
          <m:t>l</m:t>
        </m:r>
        <m:r>
          <m:t>o</m:t>
        </m:r>
        <m:r>
          <m:t>w</m:t>
        </m:r>
        <m:r>
          <m:t>i</m:t>
        </m:r>
        <m:r>
          <m:t>n</m:t>
        </m:r>
        <m:r>
          <m:t>Q</m:t>
        </m:r>
        <m:r>
          <m:t>1</m:t>
        </m:r>
        <m:r>
          <m:rPr>
            <m:sty m:val="p"/>
          </m:rPr>
          <m:t>*</m:t>
        </m:r>
        <m:r>
          <m:rPr>
            <m:sty m:val="p"/>
          </m:rPr>
          <m:t>*</m:t>
        </m:r>
        <m:r>
          <m:rPr>
            <m:sty m:val="p"/>
          </m:rPr>
          <m:t>,</m:t>
        </m:r>
        <m:r>
          <m:t>a</m:t>
        </m:r>
        <m:r>
          <m:t>l</m:t>
        </m:r>
        <m:r>
          <m:t>r</m:t>
        </m:r>
        <m:r>
          <m:t>e</m:t>
        </m:r>
        <m:r>
          <m:t>a</m:t>
        </m:r>
        <m:r>
          <m:t>d</m:t>
        </m:r>
        <m:r>
          <m:t>y</m:t>
        </m:r>
        <m:r>
          <m:t>e</m:t>
        </m:r>
        <m:r>
          <m:t>x</m:t>
        </m:r>
        <m:r>
          <m:t>c</m:t>
        </m:r>
        <m:r>
          <m:t>e</m:t>
        </m:r>
        <m:r>
          <m:t>e</m:t>
        </m:r>
        <m:r>
          <m:t>d</m:t>
        </m:r>
        <m:r>
          <m:t>i</m:t>
        </m:r>
        <m:r>
          <m:t>n</m:t>
        </m:r>
        <m:r>
          <m:t>g</m:t>
        </m:r>
        <m:r>
          <m:t>f</m:t>
        </m:r>
        <m:r>
          <m:t>u</m:t>
        </m:r>
        <m:r>
          <m:t>l</m:t>
        </m:r>
        <m:r>
          <m:t>l</m:t>
        </m:r>
        <m:r>
          <m:rPr>
            <m:sty m:val="p"/>
          </m:rPr>
          <m:t>−</m:t>
        </m:r>
        <m:r>
          <m:t>y</m:t>
        </m:r>
        <m:r>
          <m:t>e</m:t>
        </m:r>
        <m:r>
          <m:t>a</m:t>
        </m:r>
        <m:r>
          <m:t>r</m:t>
        </m:r>
        <m:r>
          <m:t>2025</m:t>
        </m:r>
        <m:r>
          <m:t>f</m:t>
        </m:r>
        <m:r>
          <m:t>r</m:t>
        </m:r>
        <m:r>
          <m:t>e</m:t>
        </m:r>
        <m:r>
          <m:t>e</m:t>
        </m:r>
        <m:r>
          <m:t>c</m:t>
        </m:r>
        <m:r>
          <m:t>a</m:t>
        </m:r>
        <m:r>
          <m:t>s</m:t>
        </m:r>
        <m:r>
          <m:t>h</m:t>
        </m:r>
        <m:r>
          <m:t>f</m:t>
        </m:r>
        <m:r>
          <m:t>l</m:t>
        </m:r>
        <m:r>
          <m:t>o</m:t>
        </m:r>
        <m:r>
          <m:t>w</m:t>
        </m:r>
        <m:r>
          <m:rPr>
            <m:sty m:val="p"/>
          </m:rPr>
          <m:t>.</m:t>
        </m:r>
        <m:r>
          <m:t>H</m:t>
        </m:r>
        <m:r>
          <m:t>o</m:t>
        </m:r>
        <m:r>
          <m:t>w</m:t>
        </m:r>
        <m:r>
          <m:t>e</m:t>
        </m:r>
        <m:r>
          <m:t>v</m:t>
        </m:r>
        <m:r>
          <m:t>e</m:t>
        </m:r>
        <m:r>
          <m:t>r</m:t>
        </m:r>
        <m:r>
          <m:rPr>
            <m:sty m:val="p"/>
          </m:rPr>
          <m:t>,</m:t>
        </m:r>
        <m:r>
          <m:t>t</m:t>
        </m:r>
        <m:r>
          <m:t>h</m:t>
        </m:r>
        <m:r>
          <m:t>a</m:t>
        </m:r>
        <m:r>
          <m:t>t</m:t>
        </m:r>
        <m:r>
          <m:t>i</m:t>
        </m:r>
        <m:r>
          <m:t>n</m:t>
        </m:r>
        <m:r>
          <m:t>c</m:t>
        </m:r>
        <m:r>
          <m:t>l</m:t>
        </m:r>
        <m:r>
          <m:t>u</m:t>
        </m:r>
        <m:r>
          <m:t>d</m:t>
        </m:r>
        <m:r>
          <m:t>e</m:t>
        </m:r>
        <m:r>
          <m:t>d</m:t>
        </m:r>
        <m:r>
          <m:t>a</m:t>
        </m:r>
        <m:r>
          <m:rPr>
            <m:sty m:val="p"/>
          </m:rPr>
          <m:t>*</m:t>
        </m:r>
        <m:r>
          <m:rPr>
            <m:sty m:val="p"/>
          </m:rPr>
          <m:t>*</m:t>
        </m:r>
      </m:oMath>
      <w:r>
        <w:rPr>
          <w:b/>
          <w:bCs/>
        </w:rPr>
        <w:t xml:space="preserve">5.3 billion working-capital benefit</w:t>
      </w:r>
      <w:r>
        <w:t xml:space="preserve">, principally from customer down payments on gas turbine orders, slot reservations and Electrification projects.</w:t>
      </w:r>
    </w:p>
    <w:p>
      <w:pPr>
        <w:pStyle w:val="BodyText"/>
      </w:pPr>
      <w:r>
        <w:t xml:space="preserve">Those inflows are economically valuable: customers are helping fund capacity expansion, and the cash confirms the seriousness of demand. But they are also tied to order timing and should not be treated as equivalent to recurring earnings-based cash flow.</w:t>
      </w:r>
    </w:p>
    <w:p>
      <w:pPr>
        <w:pStyle w:val="BodyText"/>
      </w:pPr>
      <w:r>
        <w:t xml:space="preserve">For Q2, investors should distinguish among:</w:t>
      </w:r>
    </w:p>
    <w:p>
      <w:pPr>
        <w:pStyle w:val="Compact"/>
        <w:numPr>
          <w:ilvl w:val="0"/>
          <w:numId w:val="1007"/>
        </w:numPr>
      </w:pPr>
      <w:r>
        <w:t xml:space="preserve">Cash generated from higher EBITDA</w:t>
      </w:r>
    </w:p>
    <w:p>
      <w:pPr>
        <w:pStyle w:val="Compact"/>
        <w:numPr>
          <w:ilvl w:val="0"/>
          <w:numId w:val="1007"/>
        </w:numPr>
      </w:pPr>
      <w:r>
        <w:t xml:space="preserve">Additional customer down payments</w:t>
      </w:r>
    </w:p>
    <w:p>
      <w:pPr>
        <w:pStyle w:val="Compact"/>
        <w:numPr>
          <w:ilvl w:val="0"/>
          <w:numId w:val="1007"/>
        </w:numPr>
      </w:pPr>
      <w:r>
        <w:t xml:space="preserve">Inventory investment required for the production ramp</w:t>
      </w:r>
    </w:p>
    <w:p>
      <w:pPr>
        <w:pStyle w:val="Compact"/>
        <w:numPr>
          <w:ilvl w:val="0"/>
          <w:numId w:val="1007"/>
        </w:numPr>
      </w:pPr>
      <w:r>
        <w:t xml:space="preserve">Capital expenditures for Gas Power and Electrification capacity</w:t>
      </w:r>
    </w:p>
    <w:p>
      <w:pPr>
        <w:pStyle w:val="Compact"/>
        <w:numPr>
          <w:ilvl w:val="0"/>
          <w:numId w:val="1007"/>
        </w:numPr>
      </w:pPr>
      <w:r>
        <w:t xml:space="preserve">Taxes and other one-time items</w:t>
      </w:r>
    </w:p>
    <w:p>
      <w:pPr>
        <w:pStyle w:val="FirstParagraph"/>
      </w:pPr>
      <w:r>
        <w:t xml:space="preserve">Management’s full-year free-cash-flow guidance is</w:t>
      </w:r>
      <w:r>
        <w:t xml:space="preserve"> </w:t>
      </w:r>
      <m:oMath>
        <m:r>
          <m:t>6.5</m:t>
        </m:r>
        <m:r>
          <m:t>B</m:t>
        </m:r>
        <m:r>
          <m:rPr>
            <m:sty m:val="p"/>
          </m:rPr>
          <m:t>–</m:t>
        </m:r>
      </m:oMath>
      <w:r>
        <w:rPr>
          <w:b/>
          <w:bCs/>
        </w:rPr>
        <w:t xml:space="preserve">7.5B</w:t>
      </w:r>
      <w:r>
        <w:t xml:space="preserve">. Given Q1’s result and the company’s commitment to positive Q2 cash flow, the market may look for another increase. A guidance raise driven primarily by additional advance payments would still be positive, but less important for normalized valuation than a raise driven by higher segment earnings.</w:t>
      </w:r>
    </w:p>
    <w:p>
      <w:r>
        <w:pict>
          <v:rect style="width:0;height:1.5pt" o:hralign="center" o:hrstd="t" o:hr="t"/>
        </w:pict>
      </w:r>
    </w:p>
    <w:bookmarkEnd w:id="18"/>
    <w:bookmarkStart w:id="19" w:name="X6c4bad82c3c28044c34468439eefbbc576be4d0"/>
    <w:p>
      <w:pPr>
        <w:pStyle w:val="Heading2"/>
      </w:pPr>
      <w:r>
        <w:t xml:space="preserve">5. Guidance: another raise may be embedded in expectations</w:t>
      </w:r>
    </w:p>
    <w:p>
      <w:pPr>
        <w:pStyle w:val="FirstParagraph"/>
      </w:pPr>
      <w:r>
        <w:t xml:space="preserve">GE Vernova raised its 2026 outlook substantially in April:</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Current 2026 guidance</w:t>
            </w:r>
          </w:p>
        </w:tc>
      </w:tr>
      <w:tr>
        <w:tc>
          <w:tcPr/>
          <w:p>
            <w:pPr>
              <w:pStyle w:val="Compact"/>
            </w:pPr>
            <w:r>
              <w:t xml:space="preserve">Revenue</w:t>
            </w:r>
          </w:p>
        </w:tc>
        <w:tc>
          <w:tcPr/>
          <w:p>
            <w:pPr>
              <w:pStyle w:val="Compact"/>
              <w:jc w:val="right"/>
            </w:pPr>
            <m:oMath>
              <m:r>
                <m:t>44.5</m:t>
              </m:r>
              <m:r>
                <m:t>B</m:t>
              </m:r>
              <m:r>
                <m:rPr>
                  <m:sty m:val="p"/>
                </m:rPr>
                <m:t>–</m:t>
              </m:r>
            </m:oMath>
            <w:r>
              <w:rPr>
                <w:b/>
                <w:bCs/>
              </w:rPr>
              <w:t xml:space="preserve">45.5B</w:t>
            </w:r>
          </w:p>
        </w:tc>
      </w:tr>
      <w:tr>
        <w:tc>
          <w:tcPr/>
          <w:p>
            <w:pPr>
              <w:pStyle w:val="Compact"/>
            </w:pPr>
            <w:r>
              <w:t xml:space="preserve">Adjusted EBITDA margin</w:t>
            </w:r>
          </w:p>
        </w:tc>
        <w:tc>
          <w:tcPr/>
          <w:p>
            <w:pPr>
              <w:pStyle w:val="Compact"/>
              <w:jc w:val="right"/>
            </w:pPr>
            <w:r>
              <w:rPr>
                <w:b/>
                <w:bCs/>
              </w:rPr>
              <w:t xml:space="preserve">12%–14%</w:t>
            </w:r>
          </w:p>
        </w:tc>
      </w:tr>
      <w:tr>
        <w:tc>
          <w:tcPr/>
          <w:p>
            <w:pPr>
              <w:pStyle w:val="Compact"/>
            </w:pPr>
            <w:r>
              <w:t xml:space="preserve">Free cash flow</w:t>
            </w:r>
          </w:p>
        </w:tc>
        <w:tc>
          <w:tcPr/>
          <w:p>
            <w:pPr>
              <w:pStyle w:val="Compact"/>
              <w:jc w:val="right"/>
            </w:pPr>
            <m:oMath>
              <m:r>
                <m:t>6.5</m:t>
              </m:r>
              <m:r>
                <m:t>B</m:t>
              </m:r>
              <m:r>
                <m:rPr>
                  <m:sty m:val="p"/>
                </m:rPr>
                <m:t>–</m:t>
              </m:r>
            </m:oMath>
            <w:r>
              <w:rPr>
                <w:b/>
                <w:bCs/>
              </w:rPr>
              <w:t xml:space="preserve">7.5B</w:t>
            </w:r>
          </w:p>
        </w:tc>
      </w:tr>
      <w:tr>
        <w:tc>
          <w:tcPr/>
          <w:p>
            <w:pPr>
              <w:pStyle w:val="Compact"/>
            </w:pPr>
            <w:r>
              <w:t xml:space="preserve">Power organic revenue growth</w:t>
            </w:r>
          </w:p>
        </w:tc>
        <w:tc>
          <w:tcPr/>
          <w:p>
            <w:pPr>
              <w:pStyle w:val="Compact"/>
              <w:jc w:val="right"/>
            </w:pPr>
            <w:r>
              <w:rPr>
                <w:b/>
                <w:bCs/>
              </w:rPr>
              <w:t xml:space="preserve">16%–18%</w:t>
            </w:r>
          </w:p>
        </w:tc>
      </w:tr>
      <w:tr>
        <w:tc>
          <w:tcPr/>
          <w:p>
            <w:pPr>
              <w:pStyle w:val="Compact"/>
            </w:pPr>
            <w:r>
              <w:t xml:space="preserve">Power EBITDA margin</w:t>
            </w:r>
          </w:p>
        </w:tc>
        <w:tc>
          <w:tcPr/>
          <w:p>
            <w:pPr>
              <w:pStyle w:val="Compact"/>
              <w:jc w:val="right"/>
            </w:pPr>
            <w:r>
              <w:rPr>
                <w:b/>
                <w:bCs/>
              </w:rPr>
              <w:t xml:space="preserve">17%–19%</w:t>
            </w:r>
          </w:p>
        </w:tc>
      </w:tr>
      <w:tr>
        <w:tc>
          <w:tcPr/>
          <w:p>
            <w:pPr>
              <w:pStyle w:val="Compact"/>
            </w:pPr>
            <w:r>
              <w:t xml:space="preserve">Electrification revenue</w:t>
            </w:r>
          </w:p>
        </w:tc>
        <w:tc>
          <w:tcPr/>
          <w:p>
            <w:pPr>
              <w:pStyle w:val="Compact"/>
              <w:jc w:val="right"/>
            </w:pPr>
            <m:oMath>
              <m:r>
                <m:t>14.0</m:t>
              </m:r>
              <m:r>
                <m:t>B</m:t>
              </m:r>
              <m:r>
                <m:rPr>
                  <m:sty m:val="p"/>
                </m:rPr>
                <m:t>–</m:t>
              </m:r>
            </m:oMath>
            <w:r>
              <w:rPr>
                <w:b/>
                <w:bCs/>
              </w:rPr>
              <w:t xml:space="preserve">14.5B</w:t>
            </w:r>
          </w:p>
        </w:tc>
      </w:tr>
      <w:tr>
        <w:tc>
          <w:tcPr/>
          <w:p>
            <w:pPr>
              <w:pStyle w:val="Compact"/>
            </w:pPr>
            <w:r>
              <w:t xml:space="preserve">Electrification EBITDA margin</w:t>
            </w:r>
          </w:p>
        </w:tc>
        <w:tc>
          <w:tcPr/>
          <w:p>
            <w:pPr>
              <w:pStyle w:val="Compact"/>
              <w:jc w:val="right"/>
            </w:pPr>
            <w:r>
              <w:rPr>
                <w:b/>
                <w:bCs/>
              </w:rPr>
              <w:t xml:space="preserve">18%–20%</w:t>
            </w:r>
          </w:p>
        </w:tc>
      </w:tr>
      <w:tr>
        <w:tc>
          <w:tcPr/>
          <w:p>
            <w:pPr>
              <w:pStyle w:val="Compact"/>
            </w:pPr>
            <w:r>
              <w:t xml:space="preserve">Wind organic revenue</w:t>
            </w:r>
          </w:p>
        </w:tc>
        <w:tc>
          <w:tcPr/>
          <w:p>
            <w:pPr>
              <w:pStyle w:val="Compact"/>
              <w:jc w:val="right"/>
            </w:pPr>
            <w:r>
              <w:t xml:space="preserve">Down low double digits</w:t>
            </w:r>
          </w:p>
        </w:tc>
      </w:tr>
      <w:tr>
        <w:tc>
          <w:tcPr/>
          <w:p>
            <w:pPr>
              <w:pStyle w:val="Compact"/>
            </w:pPr>
            <w:r>
              <w:t xml:space="preserve">Wind EBITDA loss</w:t>
            </w:r>
          </w:p>
        </w:tc>
        <w:tc>
          <w:tcPr/>
          <w:p>
            <w:pPr>
              <w:pStyle w:val="Compact"/>
              <w:jc w:val="right"/>
            </w:pPr>
            <w:r>
              <w:t xml:space="preserve">Approximately</w:t>
            </w:r>
            <w:r>
              <w:t xml:space="preserve"> </w:t>
            </w:r>
            <w:r>
              <w:rPr>
                <w:b/>
                <w:bCs/>
              </w:rPr>
              <w:t xml:space="preserve">$400M</w:t>
            </w:r>
          </w:p>
        </w:tc>
      </w:tr>
    </w:tbl>
    <w:p>
      <w:pPr>
        <w:pStyle w:val="BodyText"/>
      </w:pPr>
      <w:r>
        <w:t xml:space="preserve">A full-year raise is not guaranteed after only two quarters, particularly because GEV expects its highest revenue and EBITDA in Q4. Nevertheless, current sentiment probably assumes at least one of the following:</w:t>
      </w:r>
    </w:p>
    <w:p>
      <w:pPr>
        <w:pStyle w:val="Compact"/>
        <w:numPr>
          <w:ilvl w:val="0"/>
          <w:numId w:val="1008"/>
        </w:numPr>
      </w:pPr>
      <w:r>
        <w:t xml:space="preserve">Higher revenue guidance</w:t>
      </w:r>
    </w:p>
    <w:p>
      <w:pPr>
        <w:pStyle w:val="Compact"/>
        <w:numPr>
          <w:ilvl w:val="0"/>
          <w:numId w:val="1008"/>
        </w:numPr>
      </w:pPr>
      <w:r>
        <w:t xml:space="preserve">A narrowing or increase of the EBITDA margin range</w:t>
      </w:r>
    </w:p>
    <w:p>
      <w:pPr>
        <w:pStyle w:val="Compact"/>
        <w:numPr>
          <w:ilvl w:val="0"/>
          <w:numId w:val="1008"/>
        </w:numPr>
      </w:pPr>
      <w:r>
        <w:t xml:space="preserve">Higher free-cash-flow guidance</w:t>
      </w:r>
    </w:p>
    <w:p>
      <w:pPr>
        <w:pStyle w:val="Compact"/>
        <w:numPr>
          <w:ilvl w:val="0"/>
          <w:numId w:val="1008"/>
        </w:numPr>
      </w:pPr>
      <w:r>
        <w:t xml:space="preserve">Better segment margins, especially in Power or Electrification</w:t>
      </w:r>
    </w:p>
    <w:p>
      <w:pPr>
        <w:pStyle w:val="FirstParagraph"/>
      </w:pPr>
      <w:r>
        <w:t xml:space="preserve">Simply reaffirming guidance could be interpreted positively if management emphasizes conservatism and provides strong orders data. But a reaffirmation accompanied by softer second-half execution commentary would likely disappoint.</w:t>
      </w:r>
    </w:p>
    <w:p>
      <w:r>
        <w:pict>
          <v:rect style="width:0;height:1.5pt" o:hralign="center" o:hrstd="t" o:hr="t"/>
        </w:pict>
      </w:r>
    </w:p>
    <w:bookmarkEnd w:id="19"/>
    <w:bookmarkStart w:id="20" w:name="stock-setup-and-valuation-risk"/>
    <w:p>
      <w:pPr>
        <w:pStyle w:val="Heading2"/>
      </w:pPr>
      <w:r>
        <w:t xml:space="preserve">Stock setup and valuation risk</w:t>
      </w:r>
    </w:p>
    <w:p>
      <w:pPr>
        <w:pStyle w:val="FirstParagraph"/>
      </w:pPr>
      <w:r>
        <w:t xml:space="preserve">GEV closed July 21 at</w:t>
      </w:r>
      <w:r>
        <w:t xml:space="preserve"> </w:t>
      </w:r>
      <w:r>
        <w:rPr>
          <w:b/>
          <w:bCs/>
        </w:rPr>
        <w:t xml:space="preserve">$1,078.85</w:t>
      </w:r>
      <w:r>
        <w:t xml:space="preserve">, up approximately</w:t>
      </w:r>
      <w:r>
        <w:t xml:space="preserve"> </w:t>
      </w:r>
      <w:r>
        <w:rPr>
          <w:b/>
          <w:bCs/>
        </w:rPr>
        <w:t xml:space="preserve">65% in 2026</w:t>
      </w:r>
      <w:r>
        <w:t xml:space="preserve">. The shares rose almost 14% on the day of the Q1 report but are now roughly 4% below that April 22 close.</w:t>
      </w:r>
    </w:p>
    <w:p>
      <w:pPr>
        <w:pStyle w:val="BodyText"/>
      </w:pPr>
      <w:r>
        <w:t xml:space="preserve">The stock’s performance reflects a shift from turnaround valuation toward long-duration infrastructure-growth valuation. That raises the burden of proof: investors are no longer paying merely for better quarterly execution, but for years of sustained orders, pricing, capacity expansion and margin growth.</w:t>
      </w:r>
    </w:p>
    <w:p>
      <w:pPr>
        <w:pStyle w:val="BodyText"/>
      </w:pPr>
      <w:r>
        <w:t xml:space="preserve">The key valuation risk is not that Q2 results are weak. It is that results are merely in line while leading indicators stop accelerating.</w:t>
      </w:r>
    </w:p>
    <w:p>
      <w:r>
        <w:pict>
          <v:rect style="width:0;height:1.5pt" o:hralign="center" o:hrstd="t" o:hr="t"/>
        </w:pict>
      </w:r>
    </w:p>
    <w:bookmarkEnd w:id="20"/>
    <w:bookmarkStart w:id="23" w:name="bull-and-bear-markers"/>
    <w:p>
      <w:pPr>
        <w:pStyle w:val="Heading2"/>
      </w:pPr>
      <w:r>
        <w:t xml:space="preserve">Bull and bear markers</w:t>
      </w:r>
    </w:p>
    <w:bookmarkStart w:id="21" w:name="bullish-read-through"/>
    <w:p>
      <w:pPr>
        <w:pStyle w:val="Heading3"/>
      </w:pPr>
      <w:r>
        <w:t xml:space="preserve">Bullish read-through</w:t>
      </w:r>
    </w:p>
    <w:p>
      <w:pPr>
        <w:pStyle w:val="Compact"/>
        <w:numPr>
          <w:ilvl w:val="0"/>
          <w:numId w:val="1009"/>
        </w:numPr>
      </w:pPr>
      <w:r>
        <w:t xml:space="preserve">Revenue and EBITDA above approximately $10.8 billion and $1.29 billion</w:t>
      </w:r>
    </w:p>
    <w:p>
      <w:pPr>
        <w:pStyle w:val="Compact"/>
        <w:numPr>
          <w:ilvl w:val="0"/>
          <w:numId w:val="1009"/>
        </w:numPr>
      </w:pPr>
      <w:r>
        <w:t xml:space="preserve">Power margin near or above 18%</w:t>
      </w:r>
    </w:p>
    <w:p>
      <w:pPr>
        <w:pStyle w:val="Compact"/>
        <w:numPr>
          <w:ilvl w:val="0"/>
          <w:numId w:val="1009"/>
        </w:numPr>
      </w:pPr>
      <w:r>
        <w:t xml:space="preserve">Electrification revenue above $3.5 billion with further margin expansion</w:t>
      </w:r>
    </w:p>
    <w:p>
      <w:pPr>
        <w:pStyle w:val="Compact"/>
        <w:numPr>
          <w:ilvl w:val="0"/>
          <w:numId w:val="1009"/>
        </w:numPr>
      </w:pPr>
      <w:r>
        <w:t xml:space="preserve">Gas contracts at the high end or above the 10–15 GW target</w:t>
      </w:r>
    </w:p>
    <w:p>
      <w:pPr>
        <w:pStyle w:val="Compact"/>
        <w:numPr>
          <w:ilvl w:val="0"/>
          <w:numId w:val="1009"/>
        </w:numPr>
      </w:pPr>
      <w:r>
        <w:t xml:space="preserve">Continued double-digit gas pricing improvement</w:t>
      </w:r>
    </w:p>
    <w:p>
      <w:pPr>
        <w:pStyle w:val="Compact"/>
        <w:numPr>
          <w:ilvl w:val="0"/>
          <w:numId w:val="1009"/>
        </w:numPr>
      </w:pPr>
      <w:r>
        <w:t xml:space="preserve">Meaningful sequential backlog growth</w:t>
      </w:r>
    </w:p>
    <w:p>
      <w:pPr>
        <w:pStyle w:val="Compact"/>
        <w:numPr>
          <w:ilvl w:val="0"/>
          <w:numId w:val="1009"/>
        </w:numPr>
      </w:pPr>
      <w:r>
        <w:t xml:space="preserve">Wind loss better than $200 million</w:t>
      </w:r>
    </w:p>
    <w:p>
      <w:pPr>
        <w:pStyle w:val="Compact"/>
        <w:numPr>
          <w:ilvl w:val="0"/>
          <w:numId w:val="1009"/>
        </w:numPr>
      </w:pPr>
      <w:r>
        <w:t xml:space="preserve">Higher 2026 EBITDA or free-cash-flow guidance</w:t>
      </w:r>
    </w:p>
    <w:p>
      <w:pPr>
        <w:pStyle w:val="Compact"/>
        <w:numPr>
          <w:ilvl w:val="0"/>
          <w:numId w:val="1009"/>
        </w:numPr>
      </w:pPr>
      <w:r>
        <w:t xml:space="preserve">Progress on long-term hyperscaler framework agreements</w:t>
      </w:r>
    </w:p>
    <w:bookmarkEnd w:id="21"/>
    <w:bookmarkStart w:id="22" w:name="bearish-read-through"/>
    <w:p>
      <w:pPr>
        <w:pStyle w:val="Heading3"/>
      </w:pPr>
      <w:r>
        <w:t xml:space="preserve">Bearish read-through</w:t>
      </w:r>
    </w:p>
    <w:p>
      <w:pPr>
        <w:pStyle w:val="Compact"/>
        <w:numPr>
          <w:ilvl w:val="0"/>
          <w:numId w:val="1010"/>
        </w:numPr>
      </w:pPr>
      <w:r>
        <w:t xml:space="preserve">Gas contract additions below the guided range</w:t>
      </w:r>
    </w:p>
    <w:p>
      <w:pPr>
        <w:pStyle w:val="Compact"/>
        <w:numPr>
          <w:ilvl w:val="0"/>
          <w:numId w:val="1010"/>
        </w:numPr>
      </w:pPr>
      <w:r>
        <w:t xml:space="preserve">Weak conversion of slot reservations into firm backlog</w:t>
      </w:r>
    </w:p>
    <w:p>
      <w:pPr>
        <w:pStyle w:val="Compact"/>
        <w:numPr>
          <w:ilvl w:val="0"/>
          <w:numId w:val="1010"/>
        </w:numPr>
      </w:pPr>
      <w:r>
        <w:t xml:space="preserve">Power margin below 17% despite pricing and volume</w:t>
      </w:r>
    </w:p>
    <w:p>
      <w:pPr>
        <w:pStyle w:val="Compact"/>
        <w:numPr>
          <w:ilvl w:val="0"/>
          <w:numId w:val="1010"/>
        </w:numPr>
      </w:pPr>
      <w:r>
        <w:t xml:space="preserve">Electrification margins flattening or Prolec underperforming</w:t>
      </w:r>
    </w:p>
    <w:p>
      <w:pPr>
        <w:pStyle w:val="Compact"/>
        <w:numPr>
          <w:ilvl w:val="0"/>
          <w:numId w:val="1010"/>
        </w:numPr>
      </w:pPr>
      <w:r>
        <w:t xml:space="preserve">Wind losses worse than $300 million</w:t>
      </w:r>
    </w:p>
    <w:p>
      <w:pPr>
        <w:pStyle w:val="Compact"/>
        <w:numPr>
          <w:ilvl w:val="0"/>
          <w:numId w:val="1010"/>
        </w:numPr>
      </w:pPr>
      <w:r>
        <w:t xml:space="preserve">Reduced confidence in the second-half Wind recovery</w:t>
      </w:r>
    </w:p>
    <w:p>
      <w:pPr>
        <w:pStyle w:val="Compact"/>
        <w:numPr>
          <w:ilvl w:val="0"/>
          <w:numId w:val="1010"/>
        </w:numPr>
      </w:pPr>
      <w:r>
        <w:t xml:space="preserve">Free cash flow relying almost entirely on additional customer advances</w:t>
      </w:r>
    </w:p>
    <w:p>
      <w:pPr>
        <w:pStyle w:val="Compact"/>
        <w:numPr>
          <w:ilvl w:val="0"/>
          <w:numId w:val="1010"/>
        </w:numPr>
      </w:pPr>
      <w:r>
        <w:t xml:space="preserve">Guidance reaffirmed with more cautious order, tariff or supply-chain commentary</w:t>
      </w:r>
    </w:p>
    <w:p>
      <w:r>
        <w:pict>
          <v:rect style="width:0;height:1.5pt" o:hralign="center" o:hrstd="t" o:hr="t"/>
        </w:pict>
      </w:r>
    </w:p>
    <w:bookmarkEnd w:id="22"/>
    <w:bookmarkEnd w:id="23"/>
    <w:bookmarkStart w:id="24" w:name="bottom-line"/>
    <w:p>
      <w:pPr>
        <w:pStyle w:val="Heading2"/>
      </w:pPr>
      <w:r>
        <w:t xml:space="preserve">Bottom line</w:t>
      </w:r>
    </w:p>
    <w:p>
      <w:pPr>
        <w:pStyle w:val="FirstParagraph"/>
      </w:pPr>
      <w:r>
        <w:t xml:space="preserve">GE Vernova is likely to report another quarter of rapid revenue growth and substantial margin expansion. The earnings debate will center less on EPS and more on whether the company is extending the duration and profitability of the current power-infrastructure cycle.</w:t>
      </w:r>
    </w:p>
    <w:p>
      <w:pPr>
        <w:pStyle w:val="BodyText"/>
      </w:pPr>
      <w:r>
        <w:t xml:space="preserve">The highest-value data points will be</w:t>
      </w:r>
      <w:r>
        <w:t xml:space="preserve"> </w:t>
      </w:r>
      <w:r>
        <w:rPr>
          <w:b/>
          <w:bCs/>
        </w:rPr>
        <w:t xml:space="preserve">gas contracts and pricing, Electrification backlog and margins, and the composition of free cash flow</w:t>
      </w:r>
      <w:r>
        <w:t xml:space="preserve">. Strong results across those areas, combined with another guidance increase, would support the argument that GEV’s 2028 targets remain conservative. Conversely, an otherwise solid quarter could still produce a muted or negative stock reaction if orders decelerate or management does not raise the forward earnings trajectory.</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2026-07-22T00:05:03Z</dcterms:created>
  <dcterms:modified xsi:type="dcterms:W3CDTF">2026-07-22T00:05:03Z</dcterms:modified>
</cp:coreProperties>
</file>

<file path=docProps/custom.xml><?xml version="1.0" encoding="utf-8"?>
<Properties xmlns="http://schemas.openxmlformats.org/officeDocument/2006/custom-properties" xmlns:vt="http://schemas.openxmlformats.org/officeDocument/2006/docPropsVTypes"/>
</file>