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~$10.95B vs. cons $10.80B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~$3.25 vs. cons $3.10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~$45.0B midpoint vs. cons $45.0B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EBITDA-margin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~13.0% midpoint vs. cons 13.0%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~$7.0B midpoint vs. cons $7.0B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Power gas-equipment contracts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 GW contracted vs. cons 12 GW (2Q26)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Headline revenue, EBITDA, and EPS beat is likely to drive an initial ~2.5% residual move, supported by above-consensus ~16 GW Power contracting versus ~12 GW expected. But FY2026 guide is likely held at ~</w:t>
            </w:r>
            <m:oMath>
              <m:r>
                <m:t>45.0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 </m:t>
              </m:r>
              <m:r>
                <m:t>13.0</m:t>
              </m:r>
            </m:oMath>
            <w:r>
              <w:t xml:space="preserve">7.0B FCF midpoints versus the same consensus levels, leaving out-period estimates largely unchanged; the demanding valuation should pull the initial gain back toward ~0.8%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2026-07-22T00:02:32Z</dcterms:created>
  <dcterms:modified xsi:type="dcterms:W3CDTF">2026-07-22T00:02:32Z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