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e20dae6e9be000660daea4ea2ea98aced3e0c6"/>
    <w:p>
      <w:pPr>
        <w:pStyle w:val="Heading1"/>
      </w:pPr>
      <w:r>
        <w:t xml:space="preserve">GE Vernova (NYSE: GEV) — 2Q26 Earnings Preview</w:t>
      </w:r>
    </w:p>
    <w:p>
      <w:pPr>
        <w:pStyle w:val="FirstParagraph"/>
      </w:pPr>
      <w:r>
        <w:rPr>
          <w:b/>
          <w:bCs/>
        </w:rPr>
        <w:t xml:space="preserve">Event:</w:t>
      </w:r>
      <w:r>
        <w:t xml:space="preserve"> </w:t>
      </w:r>
      <w:r>
        <w:t xml:space="preserve">Wednesday, July 22, 2026, before the U.S. market open</w:t>
      </w:r>
      <w:r>
        <w:br/>
      </w:r>
      <w:r>
        <w:rPr>
          <w:b/>
          <w:bCs/>
        </w:rPr>
        <w:t xml:space="preserve">Call:</w:t>
      </w:r>
      <w:r>
        <w:t xml:space="preserve"> </w:t>
      </w:r>
      <w:r>
        <w:t xml:space="preserve">7:30 a.m. ET</w:t>
      </w:r>
      <w:r>
        <w:br/>
      </w:r>
      <w:r>
        <w:rPr>
          <w:b/>
          <w:bCs/>
        </w:rPr>
        <w:t xml:space="preserve">Setup:</w:t>
      </w:r>
      <w:r>
        <w:t xml:space="preserve"> </w:t>
      </w:r>
      <w:r>
        <w:t xml:space="preserve">Strong fundamentals and a demanding bar. The key issue is unlikely to be whether GE Vernova posts strong year-over-year growth; it is whether orders, Power pricing, Electrification margins, and full-year cash-flow expectations continue to validate the market’s long-duration growth assumptions.</w:t>
      </w:r>
    </w:p>
    <w:bookmarkStart w:id="9"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Street expectation</w:t>
            </w:r>
          </w:p>
        </w:tc>
        <w:tc>
          <w:tcPr/>
          <w:p>
            <w:pPr>
              <w:pStyle w:val="Compact"/>
              <w:jc w:val="right"/>
            </w:pPr>
            <w:r>
              <w:t xml:space="preserve">2Q25 actual</w:t>
            </w:r>
          </w:p>
        </w:tc>
        <w:tc>
          <w:tcPr/>
          <w:p>
            <w:pPr>
              <w:pStyle w:val="Compact"/>
              <w:jc w:val="right"/>
            </w:pPr>
            <w:r>
              <w:t xml:space="preserve">Implied y/y change</w:t>
            </w:r>
          </w:p>
        </w:tc>
      </w:tr>
      <w:tr>
        <w:tc>
          <w:tcPr/>
          <w:p>
            <w:pPr>
              <w:pStyle w:val="Compact"/>
            </w:pPr>
            <w:r>
              <w:t xml:space="preserve">Revenue</w:t>
            </w:r>
          </w:p>
        </w:tc>
        <w:tc>
          <w:tcPr/>
          <w:p>
            <w:pPr>
              <w:pStyle w:val="Compact"/>
              <w:jc w:val="right"/>
            </w:pPr>
            <w:r>
              <w:rPr>
                <w:b/>
                <w:bCs/>
              </w:rPr>
              <w:t xml:space="preserve">~$10.8B</w:t>
            </w:r>
          </w:p>
        </w:tc>
        <w:tc>
          <w:tcPr/>
          <w:p>
            <w:pPr>
              <w:pStyle w:val="Compact"/>
              <w:jc w:val="right"/>
            </w:pPr>
            <w:r>
              <w:t xml:space="preserve">$9.1B</w:t>
            </w:r>
          </w:p>
        </w:tc>
        <w:tc>
          <w:tcPr/>
          <w:p>
            <w:pPr>
              <w:pStyle w:val="Compact"/>
              <w:jc w:val="right"/>
            </w:pPr>
            <w:r>
              <w:rPr>
                <w:b/>
                <w:bCs/>
              </w:rPr>
              <w:t xml:space="preserve">~+19%</w:t>
            </w:r>
          </w:p>
        </w:tc>
      </w:tr>
      <w:tr>
        <w:tc>
          <w:tcPr/>
          <w:p>
            <w:pPr>
              <w:pStyle w:val="Compact"/>
            </w:pPr>
            <w:r>
              <w:t xml:space="preserve">Adjusted EBITDA</w:t>
            </w:r>
          </w:p>
        </w:tc>
        <w:tc>
          <w:tcPr/>
          <w:p>
            <w:pPr>
              <w:pStyle w:val="Compact"/>
              <w:jc w:val="right"/>
            </w:pPr>
            <w:r>
              <w:rPr>
                <w:b/>
                <w:bCs/>
              </w:rPr>
              <w:t xml:space="preserve">~$1.29B</w:t>
            </w:r>
          </w:p>
        </w:tc>
        <w:tc>
          <w:tcPr/>
          <w:p>
            <w:pPr>
              <w:pStyle w:val="Compact"/>
              <w:jc w:val="right"/>
            </w:pPr>
            <w:r>
              <w:t xml:space="preserve">$0.77B</w:t>
            </w:r>
          </w:p>
        </w:tc>
        <w:tc>
          <w:tcPr/>
          <w:p>
            <w:pPr>
              <w:pStyle w:val="Compact"/>
              <w:jc w:val="right"/>
            </w:pPr>
            <w:r>
              <w:rPr>
                <w:b/>
                <w:bCs/>
              </w:rPr>
              <w:t xml:space="preserve">~+68%</w:t>
            </w:r>
          </w:p>
        </w:tc>
      </w:tr>
      <w:tr>
        <w:tc>
          <w:tcPr/>
          <w:p>
            <w:pPr>
              <w:pStyle w:val="Compact"/>
            </w:pPr>
            <w:r>
              <w:t xml:space="preserve">Adjusted EBITDA margin</w:t>
            </w:r>
          </w:p>
        </w:tc>
        <w:tc>
          <w:tcPr/>
          <w:p>
            <w:pPr>
              <w:pStyle w:val="Compact"/>
              <w:jc w:val="right"/>
            </w:pPr>
            <w:r>
              <w:rPr>
                <w:b/>
                <w:bCs/>
              </w:rPr>
              <w:t xml:space="preserve">~11.9%</w:t>
            </w:r>
          </w:p>
        </w:tc>
        <w:tc>
          <w:tcPr/>
          <w:p>
            <w:pPr>
              <w:pStyle w:val="Compact"/>
              <w:jc w:val="right"/>
            </w:pPr>
            <w:r>
              <w:t xml:space="preserve">8.5%</w:t>
            </w:r>
          </w:p>
        </w:tc>
        <w:tc>
          <w:tcPr/>
          <w:p>
            <w:pPr>
              <w:pStyle w:val="Compact"/>
              <w:jc w:val="right"/>
            </w:pPr>
            <w:r>
              <w:rPr>
                <w:b/>
                <w:bCs/>
              </w:rPr>
              <w:t xml:space="preserve">~+340 bps</w:t>
            </w:r>
          </w:p>
        </w:tc>
      </w:tr>
      <w:tr>
        <w:tc>
          <w:tcPr/>
          <w:p>
            <w:pPr>
              <w:pStyle w:val="Compact"/>
            </w:pPr>
            <w:r>
              <w:t xml:space="preserve">EPS</w:t>
            </w:r>
          </w:p>
        </w:tc>
        <w:tc>
          <w:tcPr/>
          <w:p>
            <w:pPr>
              <w:pStyle w:val="Compact"/>
              <w:jc w:val="right"/>
            </w:pPr>
            <w:r>
              <w:rPr>
                <w:b/>
                <w:bCs/>
              </w:rPr>
              <w:t xml:space="preserve">~$3.10</w:t>
            </w:r>
          </w:p>
        </w:tc>
        <w:tc>
          <w:tcPr/>
          <w:p>
            <w:pPr>
              <w:pStyle w:val="Compact"/>
              <w:jc w:val="right"/>
            </w:pPr>
            <w:r>
              <w:t xml:space="preserve">$1.86</w:t>
            </w:r>
          </w:p>
        </w:tc>
        <w:tc>
          <w:tcPr/>
          <w:p>
            <w:pPr>
              <w:pStyle w:val="Compact"/>
              <w:jc w:val="right"/>
            </w:pPr>
            <w:r>
              <w:rPr>
                <w:b/>
                <w:bCs/>
              </w:rPr>
              <w:t xml:space="preserve">~+67%</w:t>
            </w:r>
          </w:p>
        </w:tc>
      </w:tr>
    </w:tbl>
    <w:p>
      <w:pPr>
        <w:pStyle w:val="BodyText"/>
      </w:pPr>
      <w:r>
        <w:t xml:space="preserve">The revenue and EBITDA setup is consistent with management’s April segment commentary: Power revenue growth of 15%–17% with a 17%–18% EBITDA margin; Electrification revenue of</w:t>
      </w:r>
      <w:r>
        <w:t xml:space="preserve"> </w:t>
      </w:r>
      <m:oMath>
        <m:r>
          <m:t>3.3</m:t>
        </m:r>
        <m:r>
          <m:t>B</m:t>
        </m:r>
        <m:r>
          <m:rPr>
            <m:sty m:val="p"/>
          </m:rPr>
          <m:t>–</m:t>
        </m:r>
      </m:oMath>
      <w:r>
        <w:t xml:space="preserve">3.5B with a margin modestly above the first quarter’s 17.8%; and Wind EBITDA losses of</w:t>
      </w:r>
      <w:r>
        <w:t xml:space="preserve"> </w:t>
      </w:r>
      <m:oMath>
        <m:r>
          <m:t>200</m:t>
        </m:r>
        <m:r>
          <m:t>M</m:t>
        </m:r>
        <m:r>
          <m:rPr>
            <m:sty m:val="p"/>
          </m:rPr>
          <m:t>–</m:t>
        </m:r>
      </m:oMath>
      <w:r>
        <w:t xml:space="preserve">300M.</w:t>
      </w:r>
    </w:p>
    <w:bookmarkEnd w:id="9"/>
    <w:bookmarkStart w:id="10" w:name="X3a3c8876de9ce40b496b912b15b11c8c3fc5054"/>
    <w:p>
      <w:pPr>
        <w:pStyle w:val="Heading2"/>
      </w:pPr>
      <w:r>
        <w:t xml:space="preserve">Investment view: execution is strong, but expectations are stronger</w:t>
      </w:r>
    </w:p>
    <w:p>
      <w:pPr>
        <w:pStyle w:val="FirstParagraph"/>
      </w:pPr>
      <w:r>
        <w:t xml:space="preserve">GEV enters the print with unusually favorable operating momentum:</w:t>
      </w:r>
    </w:p>
    <w:p>
      <w:pPr>
        <w:pStyle w:val="Compact"/>
        <w:numPr>
          <w:ilvl w:val="0"/>
          <w:numId w:val="1001"/>
        </w:numPr>
      </w:pPr>
      <w:r>
        <w:rPr>
          <w:b/>
          <w:bCs/>
        </w:rPr>
        <w:t xml:space="preserve">Power</w:t>
      </w:r>
      <w:r>
        <w:t xml:space="preserve"> </w:t>
      </w:r>
      <w:r>
        <w:t xml:space="preserve">is benefiting from sustained global demand for gas turbines, improving equipment pricing, and a growing future service opportunity.</w:t>
      </w:r>
    </w:p>
    <w:p>
      <w:pPr>
        <w:pStyle w:val="Compact"/>
        <w:numPr>
          <w:ilvl w:val="0"/>
          <w:numId w:val="1001"/>
        </w:numPr>
      </w:pPr>
      <w:r>
        <w:rPr>
          <w:b/>
          <w:bCs/>
        </w:rPr>
        <w:t xml:space="preserve">Electrification</w:t>
      </w:r>
      <w:r>
        <w:t xml:space="preserve"> </w:t>
      </w:r>
      <w:r>
        <w:t xml:space="preserve">is seeing accelerating transformer, switchgear, substation, HVDC, and data-center demand; the acquisition of the remaining stake in Prolec GE increases both exposure and execution opportunity.</w:t>
      </w:r>
    </w:p>
    <w:p>
      <w:pPr>
        <w:pStyle w:val="Compact"/>
        <w:numPr>
          <w:ilvl w:val="0"/>
          <w:numId w:val="1001"/>
        </w:numPr>
      </w:pPr>
      <w:r>
        <w:rPr>
          <w:b/>
          <w:bCs/>
        </w:rPr>
        <w:t xml:space="preserve">Margins and free cash flow</w:t>
      </w:r>
      <w:r>
        <w:t xml:space="preserve"> </w:t>
      </w:r>
      <w:r>
        <w:t xml:space="preserve">are scaling quickly as price, volume, lean/productivity, and customer down payments work together.</w:t>
      </w:r>
    </w:p>
    <w:p>
      <w:pPr>
        <w:pStyle w:val="Compact"/>
        <w:numPr>
          <w:ilvl w:val="0"/>
          <w:numId w:val="1001"/>
        </w:numPr>
      </w:pPr>
      <w:r>
        <w:rPr>
          <w:b/>
          <w:bCs/>
        </w:rPr>
        <w:t xml:space="preserve">Wind remains the offset</w:t>
      </w:r>
      <w:r>
        <w:t xml:space="preserve">: losses are expected in 2Q, tariffs remain a cost headwind, and the U.S. onshore equipment market is still not clearly at an inflection point.</w:t>
      </w:r>
    </w:p>
    <w:p>
      <w:pPr>
        <w:pStyle w:val="FirstParagraph"/>
      </w:pPr>
      <w:r>
        <w:t xml:space="preserve">However, investors appear to recognize much of this. GEV closed at</w:t>
      </w:r>
      <w:r>
        <w:t xml:space="preserve"> </w:t>
      </w:r>
      <w:r>
        <w:rPr>
          <w:b/>
          <w:bCs/>
        </w:rPr>
        <w:t xml:space="preserve">$1,078.85 on July 21</w:t>
      </w:r>
      <w:r>
        <w:t xml:space="preserve">, down roughly</w:t>
      </w:r>
      <w:r>
        <w:t xml:space="preserve"> </w:t>
      </w:r>
      <w:r>
        <w:rPr>
          <w:b/>
          <w:bCs/>
        </w:rPr>
        <w:t xml:space="preserve">4%</w:t>
      </w:r>
      <w:r>
        <w:t xml:space="preserve"> </w:t>
      </w:r>
      <w:r>
        <w:t xml:space="preserve">from its post-1Q-results close but only about</w:t>
      </w:r>
      <w:r>
        <w:t xml:space="preserve"> </w:t>
      </w:r>
      <w:r>
        <w:rPr>
          <w:b/>
          <w:bCs/>
        </w:rPr>
        <w:t xml:space="preserve">8% below</w:t>
      </w:r>
      <w:r>
        <w:t xml:space="preserve"> </w:t>
      </w:r>
      <w:r>
        <w:t xml:space="preserve">its June 30 high. In other words, the share price has consolidated, not de-risked the long-term thesis. A merely in-line quarter, especially without reinforcing the backlog/pricing trajectory, may not be enough.</w:t>
      </w:r>
    </w:p>
    <w:p>
      <w:r>
        <w:pict>
          <v:rect style="width:0;height:1.5pt" o:hralign="center" o:hrstd="t" o:hr="t"/>
        </w:pict>
      </w:r>
    </w:p>
    <w:bookmarkEnd w:id="10"/>
    <w:bookmarkStart w:id="15" w:name="the-four-things-that-matter-most"/>
    <w:p>
      <w:pPr>
        <w:pStyle w:val="Heading2"/>
      </w:pPr>
      <w:r>
        <w:t xml:space="preserve">The four things that matter most</w:t>
      </w:r>
    </w:p>
    <w:bookmarkStart w:id="11" w:name="Xc30a53bce4101e2487f2eff6bed18987320c26d"/>
    <w:p>
      <w:pPr>
        <w:pStyle w:val="Heading3"/>
      </w:pPr>
      <w:r>
        <w:t xml:space="preserve">1. Power orders, turbine commitments, and pricing</w:t>
      </w:r>
    </w:p>
    <w:p>
      <w:pPr>
        <w:pStyle w:val="FirstParagraph"/>
      </w:pPr>
      <w:r>
        <w:t xml:space="preserve">This is the most important part of the report.</w:t>
      </w:r>
    </w:p>
    <w:p>
      <w:pPr>
        <w:pStyle w:val="BodyText"/>
      </w:pPr>
      <w:r>
        <w:t xml:space="preserve">At 1Q, GE Vernova had</w:t>
      </w:r>
      <w:r>
        <w:t xml:space="preserve"> </w:t>
      </w:r>
      <w:r>
        <w:rPr>
          <w:b/>
          <w:bCs/>
        </w:rPr>
        <w:t xml:space="preserve">100 GW</w:t>
      </w:r>
      <w:r>
        <w:t xml:space="preserve"> </w:t>
      </w:r>
      <w:r>
        <w:t xml:space="preserve">of combined Gas Power equipment backlog and slot-reservation agreements, up from 83 GW at year-end. Management said it expected to reach at least</w:t>
      </w:r>
      <w:r>
        <w:t xml:space="preserve"> </w:t>
      </w:r>
      <w:r>
        <w:rPr>
          <w:b/>
          <w:bCs/>
        </w:rPr>
        <w:t xml:space="preserve">110 GW by year-end 2026</w:t>
      </w:r>
      <w:r>
        <w:t xml:space="preserve">, with</w:t>
      </w:r>
      <w:r>
        <w:t xml:space="preserve"> </w:t>
      </w:r>
      <w:r>
        <w:rPr>
          <w:b/>
          <w:bCs/>
        </w:rPr>
        <w:t xml:space="preserve">10–15 GW</w:t>
      </w:r>
      <w:r>
        <w:t xml:space="preserve"> </w:t>
      </w:r>
      <w:r>
        <w:t xml:space="preserve">of contracts expected in 2Q.</w:t>
      </w:r>
    </w:p>
    <w:p>
      <w:pPr>
        <w:pStyle w:val="BodyText"/>
      </w:pPr>
      <w:r>
        <w:t xml:space="preserve">The April call also contained a particularly constructive read-through: management said it had already booked more Power-equipment order value in April than in the entire first quarter. Investors will look for evidence that this translated into:</w:t>
      </w:r>
    </w:p>
    <w:p>
      <w:pPr>
        <w:pStyle w:val="Compact"/>
        <w:numPr>
          <w:ilvl w:val="0"/>
          <w:numId w:val="1002"/>
        </w:numPr>
      </w:pPr>
      <w:r>
        <w:t xml:space="preserve">2Q gas-equipment orders at or above the</w:t>
      </w:r>
      <w:r>
        <w:t xml:space="preserve"> </w:t>
      </w:r>
      <w:r>
        <w:rPr>
          <w:b/>
          <w:bCs/>
        </w:rPr>
        <w:t xml:space="preserve">10–15 GW</w:t>
      </w:r>
      <w:r>
        <w:t xml:space="preserve"> </w:t>
      </w:r>
      <w:r>
        <w:t xml:space="preserve">expectation;</w:t>
      </w:r>
    </w:p>
    <w:p>
      <w:pPr>
        <w:pStyle w:val="Compact"/>
        <w:numPr>
          <w:ilvl w:val="0"/>
          <w:numId w:val="1002"/>
        </w:numPr>
      </w:pPr>
      <w:r>
        <w:t xml:space="preserve">continued conversion of slot-reservation agreements into firm orders;</w:t>
      </w:r>
    </w:p>
    <w:p>
      <w:pPr>
        <w:pStyle w:val="Compact"/>
        <w:numPr>
          <w:ilvl w:val="0"/>
          <w:numId w:val="1002"/>
        </w:numPr>
      </w:pPr>
      <w:r>
        <w:t xml:space="preserve">further movement in 2029–2030 delivery availability;</w:t>
      </w:r>
    </w:p>
    <w:p>
      <w:pPr>
        <w:pStyle w:val="Compact"/>
        <w:numPr>
          <w:ilvl w:val="0"/>
          <w:numId w:val="1002"/>
        </w:numPr>
      </w:pPr>
      <w:r>
        <w:t xml:space="preserve">ongoing breadth of demand across utilities, IPPs, international customers, and hyperscalers; and</w:t>
      </w:r>
    </w:p>
    <w:p>
      <w:pPr>
        <w:pStyle w:val="Compact"/>
        <w:numPr>
          <w:ilvl w:val="0"/>
          <w:numId w:val="1002"/>
        </w:numPr>
      </w:pPr>
      <w:r>
        <w:t xml:space="preserve">confirmation that equipment pricing remains materially above the existing backlog.</w:t>
      </w:r>
    </w:p>
    <w:p>
      <w:pPr>
        <w:pStyle w:val="FirstParagraph"/>
      </w:pPr>
      <w:r>
        <w:t xml:space="preserve">Management previously indicated that first-half 2026 orders were being priced</w:t>
      </w:r>
      <w:r>
        <w:t xml:space="preserve"> </w:t>
      </w:r>
      <w:r>
        <w:rPr>
          <w:b/>
          <w:bCs/>
        </w:rPr>
        <w:t xml:space="preserve">10–20 percentage points higher on a dollars-per-kilowatt basis</w:t>
      </w:r>
      <w:r>
        <w:t xml:space="preserve"> </w:t>
      </w:r>
      <w:r>
        <w:t xml:space="preserve">than 4Q25 orders. That pricing signal, more than quarterly revenue, underpins the next phase of backlog-margin expansion and the future services opportunity.</w:t>
      </w:r>
    </w:p>
    <w:p>
      <w:pPr>
        <w:pStyle w:val="BodyText"/>
      </w:pPr>
      <w:r>
        <w:rPr>
          <w:b/>
          <w:bCs/>
        </w:rPr>
        <w:t xml:space="preserve">What would be bullish:</w:t>
      </w:r>
      <w:r>
        <w:t xml:space="preserve"> </w:t>
      </w:r>
      <w:r>
        <w:t xml:space="preserve">Orders materially above the 10–15 GW framework, rising slot reservations/backlog, or evidence of continued pricing gains into the second half.</w:t>
      </w:r>
    </w:p>
    <w:p>
      <w:pPr>
        <w:pStyle w:val="BodyText"/>
      </w:pPr>
      <w:r>
        <w:rPr>
          <w:b/>
          <w:bCs/>
        </w:rPr>
        <w:t xml:space="preserve">What would concern investors:</w:t>
      </w:r>
      <w:r>
        <w:t xml:space="preserve"> </w:t>
      </w:r>
      <w:r>
        <w:t xml:space="preserve">A notable deceleration in gas contracting, unfavorable mix toward less-profitable scope, project delays, or an indication that customer financing, permitting, LNG/fuel availability, or supply-chain constraints are pushing out commitments.</w:t>
      </w:r>
    </w:p>
    <w:p>
      <w:r>
        <w:pict>
          <v:rect style="width:0;height:1.5pt" o:hralign="center" o:hrstd="t" o:hr="t"/>
        </w:pict>
      </w:r>
    </w:p>
    <w:bookmarkEnd w:id="11"/>
    <w:bookmarkStart w:id="12" w:name="Xe13eb1671c4e8bf7f40a080116bd517a334c8e2"/>
    <w:p>
      <w:pPr>
        <w:pStyle w:val="Heading3"/>
      </w:pPr>
      <w:r>
        <w:t xml:space="preserve">2. Electrification: can growth and margins both remain exceptional?</w:t>
      </w:r>
    </w:p>
    <w:p>
      <w:pPr>
        <w:pStyle w:val="FirstParagraph"/>
      </w:pPr>
      <w:r>
        <w:t xml:space="preserve">Electrification is likely the cleanest near-term financial driver. In 1Q, it delivered:</w:t>
      </w:r>
    </w:p>
    <w:p>
      <w:pPr>
        <w:pStyle w:val="Compact"/>
        <w:numPr>
          <w:ilvl w:val="0"/>
          <w:numId w:val="1003"/>
        </w:numPr>
      </w:pPr>
      <w:r>
        <w:rPr>
          <w:b/>
          <w:bCs/>
        </w:rPr>
        <w:t xml:space="preserve">$7.1B of orders</w:t>
      </w:r>
      <w:r>
        <w:t xml:space="preserve">, up 86% organically;</w:t>
      </w:r>
    </w:p>
    <w:p>
      <w:pPr>
        <w:pStyle w:val="Compact"/>
        <w:numPr>
          <w:ilvl w:val="0"/>
          <w:numId w:val="1003"/>
        </w:numPr>
      </w:pPr>
      <w:r>
        <w:rPr>
          <w:b/>
          <w:bCs/>
        </w:rPr>
        <w:t xml:space="preserve">$3.0B of revenue</w:t>
      </w:r>
      <w:r>
        <w:t xml:space="preserve">, up 29% organically;</w:t>
      </w:r>
    </w:p>
    <w:p>
      <w:pPr>
        <w:pStyle w:val="Compact"/>
        <w:numPr>
          <w:ilvl w:val="0"/>
          <w:numId w:val="1003"/>
        </w:numPr>
      </w:pPr>
      <w:r>
        <w:rPr>
          <w:b/>
          <w:bCs/>
        </w:rPr>
        <w:t xml:space="preserve">17.8% segment EBITDA margin</w:t>
      </w:r>
      <w:r>
        <w:t xml:space="preserve">, up 590 bps organically; and</w:t>
      </w:r>
    </w:p>
    <w:p>
      <w:pPr>
        <w:pStyle w:val="Compact"/>
        <w:numPr>
          <w:ilvl w:val="0"/>
          <w:numId w:val="1003"/>
        </w:numPr>
      </w:pPr>
      <w:r>
        <w:t xml:space="preserve">approximately</w:t>
      </w:r>
      <w:r>
        <w:t xml:space="preserve"> </w:t>
      </w:r>
      <w:r>
        <w:rPr>
          <w:b/>
          <w:bCs/>
        </w:rPr>
        <w:t xml:space="preserve">$2.4B of data-center-related orders</w:t>
      </w:r>
      <w:r>
        <w:t xml:space="preserve">, more than the business booked from data centers in all of 2025.</w:t>
      </w:r>
    </w:p>
    <w:p>
      <w:pPr>
        <w:pStyle w:val="FirstParagraph"/>
      </w:pPr>
      <w:r>
        <w:t xml:space="preserve">For 2Q, management guided to</w:t>
      </w:r>
      <w:r>
        <w:t xml:space="preserve"> </w:t>
      </w:r>
      <m:oMath>
        <m:r>
          <m:t>3.3</m:t>
        </m:r>
        <m:r>
          <m:t>B</m:t>
        </m:r>
        <m:r>
          <m:rPr>
            <m:sty m:val="p"/>
          </m:rPr>
          <m:t>–</m:t>
        </m:r>
      </m:oMath>
      <w:r>
        <w:rPr>
          <w:b/>
          <w:bCs/>
        </w:rPr>
        <w:t xml:space="preserve">3.5B of revenue</w:t>
      </w:r>
      <w:r>
        <w:t xml:space="preserve"> </w:t>
      </w:r>
      <w:r>
        <w:t xml:space="preserve">and EBITDA margin “modestly above” 1Q levels. That is a high hurdle, particularly given the integration of Prolec GE and an evolving tariff environment.</w:t>
      </w:r>
    </w:p>
    <w:p>
      <w:pPr>
        <w:pStyle w:val="BodyText"/>
      </w:pPr>
      <w:r>
        <w:t xml:space="preserve">Investor focus should be on:</w:t>
      </w:r>
    </w:p>
    <w:p>
      <w:pPr>
        <w:pStyle w:val="Compact"/>
        <w:numPr>
          <w:ilvl w:val="0"/>
          <w:numId w:val="1004"/>
        </w:numPr>
      </w:pPr>
      <w:r>
        <w:t xml:space="preserve">order growth and book-to-bill, especially in transformers, switchgear, substations, and HVDC;</w:t>
      </w:r>
    </w:p>
    <w:p>
      <w:pPr>
        <w:pStyle w:val="Compact"/>
        <w:numPr>
          <w:ilvl w:val="0"/>
          <w:numId w:val="1004"/>
        </w:numPr>
      </w:pPr>
      <w:r>
        <w:t xml:space="preserve">the pace of data-center wins and whether GEV is expanding its “entitlement” per data-center gigawatt;</w:t>
      </w:r>
    </w:p>
    <w:p>
      <w:pPr>
        <w:pStyle w:val="Compact"/>
        <w:numPr>
          <w:ilvl w:val="0"/>
          <w:numId w:val="1004"/>
        </w:numPr>
      </w:pPr>
      <w:r>
        <w:t xml:space="preserve">Prolec revenue, margin, backlog growth, and early synergy/productivity evidence;</w:t>
      </w:r>
    </w:p>
    <w:p>
      <w:pPr>
        <w:pStyle w:val="Compact"/>
        <w:numPr>
          <w:ilvl w:val="0"/>
          <w:numId w:val="1004"/>
        </w:numPr>
      </w:pPr>
      <w:r>
        <w:t xml:space="preserve">capacity-expansion spending and the ability to sustain delivery performance; and</w:t>
      </w:r>
    </w:p>
    <w:p>
      <w:pPr>
        <w:pStyle w:val="Compact"/>
        <w:numPr>
          <w:ilvl w:val="0"/>
          <w:numId w:val="1004"/>
        </w:numPr>
      </w:pPr>
      <w:r>
        <w:t xml:space="preserve">margin durability above the 1Q level.</w:t>
      </w:r>
    </w:p>
    <w:p>
      <w:pPr>
        <w:pStyle w:val="FirstParagraph"/>
      </w:pPr>
      <w:r>
        <w:t xml:space="preserve">The strategic upside is that GEV increasingly sells an integrated package: gas generation, grid equipment, substations, power-management systems, and software. That breadth could enable higher wallet share as hyperscalers and utilities race to secure power and grid interconnection.</w:t>
      </w:r>
    </w:p>
    <w:p>
      <w:r>
        <w:pict>
          <v:rect style="width:0;height:1.5pt" o:hralign="center" o:hrstd="t" o:hr="t"/>
        </w:pict>
      </w:r>
    </w:p>
    <w:bookmarkEnd w:id="12"/>
    <w:bookmarkStart w:id="13" w:name="X0dd7db6cd3af51c2a0a98cee7bc3cce46f0c912"/>
    <w:p>
      <w:pPr>
        <w:pStyle w:val="Heading3"/>
      </w:pPr>
      <w:r>
        <w:t xml:space="preserve">3. Wind losses and tariff containment</w:t>
      </w:r>
    </w:p>
    <w:p>
      <w:pPr>
        <w:pStyle w:val="FirstParagraph"/>
      </w:pPr>
      <w:r>
        <w:t xml:space="preserve">Wind is the near-term drag, and 2Q should still show it. Management guided to:</w:t>
      </w:r>
    </w:p>
    <w:p>
      <w:pPr>
        <w:pStyle w:val="Compact"/>
        <w:numPr>
          <w:ilvl w:val="0"/>
          <w:numId w:val="1005"/>
        </w:numPr>
      </w:pPr>
      <w:r>
        <w:t xml:space="preserve">mid-teens year-over-year revenue decline; and</w:t>
      </w:r>
    </w:p>
    <w:p>
      <w:pPr>
        <w:pStyle w:val="Compact"/>
        <w:numPr>
          <w:ilvl w:val="0"/>
          <w:numId w:val="1005"/>
        </w:numPr>
      </w:pPr>
      <m:oMath>
        <m:r>
          <m:t>200</m:t>
        </m:r>
        <m:r>
          <m:t>M</m:t>
        </m:r>
        <m:r>
          <m:rPr>
            <m:sty m:val="p"/>
          </m:rPr>
          <m:t>–</m:t>
        </m:r>
      </m:oMath>
      <w:r>
        <w:rPr>
          <w:b/>
          <w:bCs/>
        </w:rPr>
        <w:t xml:space="preserve">300M of segment EBITDA losses</w:t>
      </w:r>
      <w:r>
        <w:t xml:space="preserve">.</w:t>
      </w:r>
    </w:p>
    <w:p>
      <w:pPr>
        <w:pStyle w:val="FirstParagraph"/>
      </w:pPr>
      <w:r>
        <w:t xml:space="preserve">The first quarter was particularly weak, with a</w:t>
      </w:r>
      <w:r>
        <w:t xml:space="preserve"> </w:t>
      </w:r>
      <w:r>
        <w:rPr>
          <w:b/>
          <w:bCs/>
        </w:rPr>
        <w:t xml:space="preserve">$382M EBITDA loss</w:t>
      </w:r>
      <w:r>
        <w:t xml:space="preserve">, driven by lower Onshore equipment volume, tariffs, and higher Offshore contract losses. The company expects the second half to improve as more Onshore shipments occur under contracts with better tariff protections and as service profitability improves.</w:t>
      </w:r>
    </w:p>
    <w:p>
      <w:pPr>
        <w:pStyle w:val="BodyText"/>
      </w:pPr>
      <w:r>
        <w:t xml:space="preserve">The key question is therefore not whether Wind loses money in 2Q, but whether:</w:t>
      </w:r>
    </w:p>
    <w:p>
      <w:pPr>
        <w:pStyle w:val="Compact"/>
        <w:numPr>
          <w:ilvl w:val="0"/>
          <w:numId w:val="1006"/>
        </w:numPr>
      </w:pPr>
      <w:r>
        <w:t xml:space="preserve">losses remain within the stated range;</w:t>
      </w:r>
    </w:p>
    <w:p>
      <w:pPr>
        <w:pStyle w:val="Compact"/>
        <w:numPr>
          <w:ilvl w:val="0"/>
          <w:numId w:val="1006"/>
        </w:numPr>
      </w:pPr>
      <w:r>
        <w:t xml:space="preserve">tariff costs remain manageable; and</w:t>
      </w:r>
    </w:p>
    <w:p>
      <w:pPr>
        <w:pStyle w:val="Compact"/>
        <w:numPr>
          <w:ilvl w:val="0"/>
          <w:numId w:val="1006"/>
        </w:numPr>
      </w:pPr>
      <w:r>
        <w:t xml:space="preserve">management still sees a credible path to offset first-half losses with second-half profitability.</w:t>
      </w:r>
    </w:p>
    <w:p>
      <w:pPr>
        <w:pStyle w:val="FirstParagraph"/>
      </w:pPr>
      <w:r>
        <w:t xml:space="preserve">Management’s full-year outlook includes an estimated</w:t>
      </w:r>
      <w:r>
        <w:t xml:space="preserve"> </w:t>
      </w:r>
      <m:oMath>
        <m:r>
          <m:t>250</m:t>
        </m:r>
        <m:r>
          <m:t>M</m:t>
        </m:r>
        <m:r>
          <m:rPr>
            <m:sty m:val="p"/>
          </m:rPr>
          <m:t>–</m:t>
        </m:r>
      </m:oMath>
      <w:r>
        <w:rPr>
          <w:b/>
          <w:bCs/>
        </w:rPr>
        <w:t xml:space="preserve">350M net tariff impact</w:t>
      </w:r>
      <w:r>
        <w:t xml:space="preserve">. Investors will want confirmation that this remains intact, particularly given trade-policy volatility and Prolec’s North American supply-chain exposure.</w:t>
      </w:r>
    </w:p>
    <w:p>
      <w:r>
        <w:pict>
          <v:rect style="width:0;height:1.5pt" o:hralign="center" o:hrstd="t" o:hr="t"/>
        </w:pict>
      </w:r>
    </w:p>
    <w:bookmarkEnd w:id="13"/>
    <w:bookmarkStart w:id="14" w:name="X388cb00bf4dd267b1bf181af6c26f62ac9854cf"/>
    <w:p>
      <w:pPr>
        <w:pStyle w:val="Heading3"/>
      </w:pPr>
      <w:r>
        <w:t xml:space="preserve">4. Free cash flow quality and the durability of raised guidance</w:t>
      </w:r>
    </w:p>
    <w:p>
      <w:pPr>
        <w:pStyle w:val="FirstParagraph"/>
      </w:pPr>
      <w:r>
        <w:t xml:space="preserve">GEV raised 2026 guidance after 1Q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Current outlook</w:t>
            </w:r>
          </w:p>
        </w:tc>
      </w:tr>
      <w:tr>
        <w:tc>
          <w:tcPr/>
          <w:p>
            <w:pPr>
              <w:pStyle w:val="Compact"/>
            </w:pPr>
            <w:r>
              <w:t xml:space="preserve">Revenue</w:t>
            </w:r>
          </w:p>
        </w:tc>
        <w:tc>
          <w:tcPr/>
          <w:p>
            <w:pPr>
              <w:pStyle w:val="Compact"/>
              <w:jc w:val="right"/>
            </w:pPr>
            <m:oMath>
              <m:r>
                <m:t>44.5</m:t>
              </m:r>
              <m:r>
                <m:t>B</m:t>
              </m:r>
              <m:r>
                <m:rPr>
                  <m:sty m:val="p"/>
                </m:rPr>
                <m:t>–</m:t>
              </m:r>
            </m:oMath>
            <w:r>
              <w:rPr>
                <w:b/>
                <w:bCs/>
              </w:rPr>
              <w:t xml:space="preserve">45.5B</w:t>
            </w:r>
          </w:p>
        </w:tc>
      </w:tr>
      <w:tr>
        <w:tc>
          <w:tcPr/>
          <w:p>
            <w:pPr>
              <w:pStyle w:val="Compact"/>
            </w:pPr>
            <w:r>
              <w:t xml:space="preserve">Adjusted EBITDA margin</w:t>
            </w:r>
          </w:p>
        </w:tc>
        <w:tc>
          <w:tcPr/>
          <w:p>
            <w:pPr>
              <w:pStyle w:val="Compact"/>
              <w:jc w:val="right"/>
            </w:pPr>
            <w:r>
              <w:rPr>
                <w:b/>
                <w:bCs/>
              </w:rPr>
              <w:t xml:space="preserve">12%–14%</w:t>
            </w:r>
          </w:p>
        </w:tc>
      </w:tr>
      <w:tr>
        <w:tc>
          <w:tcPr/>
          <w:p>
            <w:pPr>
              <w:pStyle w:val="Compact"/>
            </w:pPr>
            <w:r>
              <w:t xml:space="preserve">Free cash flow</w:t>
            </w:r>
          </w:p>
        </w:tc>
        <w:tc>
          <w:tcPr/>
          <w:p>
            <w:pPr>
              <w:pStyle w:val="Compact"/>
              <w:jc w:val="right"/>
            </w:pPr>
            <m:oMath>
              <m:r>
                <m:t>6.5</m:t>
              </m:r>
              <m:r>
                <m:t>B</m:t>
              </m:r>
              <m:r>
                <m:rPr>
                  <m:sty m:val="p"/>
                </m:rPr>
                <m:t>–</m:t>
              </m:r>
            </m:oMath>
            <w:r>
              <w:rPr>
                <w:b/>
                <w:bCs/>
              </w:rPr>
              <w:t xml:space="preserve">7.5B</w:t>
            </w:r>
          </w:p>
        </w:tc>
      </w:tr>
    </w:tbl>
    <w:p>
      <w:pPr>
        <w:pStyle w:val="BodyText"/>
      </w:pPr>
      <w:r>
        <w:t xml:space="preserve">The 1Q free-cash-flow figure of</w:t>
      </w:r>
      <w:r>
        <w:t xml:space="preserve"> </w:t>
      </w:r>
      <m:oMath>
        <m:r>
          <m:t>4.8</m:t>
        </m:r>
        <m:r>
          <m:t>B</m:t>
        </m:r>
        <m:r>
          <m:rPr>
            <m:sty m:val="p"/>
          </m:rPr>
          <m:t>*</m:t>
        </m:r>
        <m:r>
          <m:rPr>
            <m:sty m:val="p"/>
          </m:rPr>
          <m:t>*</m:t>
        </m:r>
        <m:r>
          <m:t>w</m:t>
        </m:r>
        <m:r>
          <m:t>a</m:t>
        </m:r>
        <m:r>
          <m:t>s</m:t>
        </m:r>
        <m:r>
          <m:t>e</m:t>
        </m:r>
        <m:r>
          <m:t>x</m:t>
        </m:r>
        <m:r>
          <m:t>c</m:t>
        </m:r>
        <m:r>
          <m:t>e</m:t>
        </m:r>
        <m:r>
          <m:t>p</m:t>
        </m:r>
        <m:r>
          <m:t>t</m:t>
        </m:r>
        <m:r>
          <m:t>i</m:t>
        </m:r>
        <m:r>
          <m:t>o</m:t>
        </m:r>
        <m:r>
          <m:t>n</m:t>
        </m:r>
        <m:r>
          <m:t>a</m:t>
        </m:r>
        <m:r>
          <m:t>l</m:t>
        </m:r>
        <m:r>
          <m:rPr>
            <m:sty m:val="p"/>
          </m:rPr>
          <m:t>,</m:t>
        </m:r>
        <m:r>
          <m:t>s</m:t>
        </m:r>
        <m:r>
          <m:t>u</m:t>
        </m:r>
        <m:r>
          <m:t>p</m:t>
        </m:r>
        <m:r>
          <m:t>p</m:t>
        </m:r>
        <m:r>
          <m:t>o</m:t>
        </m:r>
        <m:r>
          <m:t>r</m:t>
        </m:r>
        <m:r>
          <m:t>t</m:t>
        </m:r>
        <m:r>
          <m:t>e</m:t>
        </m:r>
        <m:r>
          <m:t>d</m:t>
        </m:r>
        <m:r>
          <m:t>b</m:t>
        </m:r>
        <m:r>
          <m:t>y</m:t>
        </m:r>
        <m:r>
          <m:t>s</m:t>
        </m:r>
        <m:r>
          <m:t>t</m:t>
        </m:r>
        <m:r>
          <m:t>r</m:t>
        </m:r>
        <m:r>
          <m:t>o</m:t>
        </m:r>
        <m:r>
          <m:t>n</m:t>
        </m:r>
        <m:r>
          <m:t>g</m:t>
        </m:r>
        <m:r>
          <m:t>E</m:t>
        </m:r>
        <m:r>
          <m:t>B</m:t>
        </m:r>
        <m:r>
          <m:t>I</m:t>
        </m:r>
        <m:r>
          <m:t>T</m:t>
        </m:r>
        <m:r>
          <m:t>D</m:t>
        </m:r>
        <m:r>
          <m:t>A</m:t>
        </m:r>
        <m:r>
          <m:t>a</m:t>
        </m:r>
        <m:r>
          <m:t>n</m:t>
        </m:r>
        <m:r>
          <m:t>d</m:t>
        </m:r>
        <m:r>
          <m:t>a</m:t>
        </m:r>
        <m:r>
          <m:rPr>
            <m:sty m:val="p"/>
          </m:rPr>
          <m:t>*</m:t>
        </m:r>
        <m:r>
          <m:rPr>
            <m:sty m:val="p"/>
          </m:rPr>
          <m:t>*</m:t>
        </m:r>
      </m:oMath>
      <w:r>
        <w:rPr>
          <w:b/>
          <w:bCs/>
        </w:rPr>
        <w:t xml:space="preserve">5.3B working-capital benefit</w:t>
      </w:r>
      <w:r>
        <w:t xml:space="preserve"> </w:t>
      </w:r>
      <w:r>
        <w:t xml:space="preserve">from higher customer down payments and slot reservations. That validates demand, but it also means investors should distinguish between the operational earnings trajectory and the quarter-to-quarter timing of cash collections.</w:t>
      </w:r>
    </w:p>
    <w:p>
      <w:pPr>
        <w:pStyle w:val="BodyText"/>
      </w:pPr>
      <w:r>
        <w:t xml:space="preserve">For 2Q, management guided only to</w:t>
      </w:r>
      <w:r>
        <w:t xml:space="preserve"> </w:t>
      </w:r>
      <w:r>
        <w:rPr>
          <w:b/>
          <w:bCs/>
        </w:rPr>
        <w:t xml:space="preserve">positive free cash flow</w:t>
      </w:r>
      <w:r>
        <w:t xml:space="preserve">. The quality of cash flow will matter more than the absolute number:</w:t>
      </w:r>
    </w:p>
    <w:p>
      <w:pPr>
        <w:pStyle w:val="Compact"/>
        <w:numPr>
          <w:ilvl w:val="0"/>
          <w:numId w:val="1007"/>
        </w:numPr>
      </w:pPr>
      <w:r>
        <w:t xml:space="preserve">Are new customer down payments continuing?</w:t>
      </w:r>
    </w:p>
    <w:p>
      <w:pPr>
        <w:pStyle w:val="Compact"/>
        <w:numPr>
          <w:ilvl w:val="0"/>
          <w:numId w:val="1007"/>
        </w:numPr>
      </w:pPr>
      <w:r>
        <w:t xml:space="preserve">Does the company maintain its full-year FCF range?</w:t>
      </w:r>
    </w:p>
    <w:p>
      <w:pPr>
        <w:pStyle w:val="Compact"/>
        <w:numPr>
          <w:ilvl w:val="0"/>
          <w:numId w:val="1007"/>
        </w:numPr>
      </w:pPr>
      <w:r>
        <w:t xml:space="preserve">Is higher CapEx to expand Power and Electrification capacity proceeding as planned?</w:t>
      </w:r>
    </w:p>
    <w:p>
      <w:pPr>
        <w:pStyle w:val="Compact"/>
        <w:numPr>
          <w:ilvl w:val="0"/>
          <w:numId w:val="1007"/>
        </w:numPr>
      </w:pPr>
      <w:r>
        <w:t xml:space="preserve">Does capital allocation remain balanced among organic investment, Prolec integration, dividends, and buybacks?</w:t>
      </w:r>
    </w:p>
    <w:p>
      <w:pPr>
        <w:pStyle w:val="FirstParagraph"/>
      </w:pPr>
      <w:r>
        <w:t xml:space="preserve">A guidance increase is possible given the strong starting point, but the higher-probability positive outcome may be a reaffirmation paired with improved backlog, pricing, and order commentary. GEV has already raised the 2026 guide once, so the market may require a clear reason for another increase.</w:t>
      </w:r>
    </w:p>
    <w:p>
      <w:r>
        <w:pict>
          <v:rect style="width:0;height:1.5pt" o:hralign="center" o:hrstd="t" o:hr="t"/>
        </w:pict>
      </w:r>
    </w:p>
    <w:bookmarkEnd w:id="14"/>
    <w:bookmarkEnd w:id="15"/>
    <w:bookmarkStart w:id="16" w:name="segment-scorecard-for-the-print"/>
    <w:p>
      <w:pPr>
        <w:pStyle w:val="Heading2"/>
      </w:pPr>
      <w:r>
        <w:t xml:space="preserve">Segment scorecard for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2Q26 watch items</w:t>
            </w:r>
          </w:p>
        </w:tc>
        <w:tc>
          <w:tcPr/>
          <w:p>
            <w:pPr>
              <w:pStyle w:val="Compact"/>
            </w:pPr>
            <w:r>
              <w:t xml:space="preserve">Why it matters</w:t>
            </w:r>
          </w:p>
        </w:tc>
      </w:tr>
      <w:tr>
        <w:tc>
          <w:tcPr/>
          <w:p>
            <w:pPr>
              <w:pStyle w:val="Compact"/>
            </w:pPr>
            <w:r>
              <w:rPr>
                <w:b/>
                <w:bCs/>
              </w:rPr>
              <w:t xml:space="preserve">Power</w:t>
            </w:r>
          </w:p>
        </w:tc>
        <w:tc>
          <w:tcPr/>
          <w:p>
            <w:pPr>
              <w:pStyle w:val="Compact"/>
            </w:pPr>
            <w:r>
              <w:t xml:space="preserve">Gas-turbine GW contracted; order price; revenue growth; 17%–18% margin</w:t>
            </w:r>
          </w:p>
        </w:tc>
        <w:tc>
          <w:tcPr/>
          <w:p>
            <w:pPr>
              <w:pStyle w:val="Compact"/>
            </w:pPr>
            <w:r>
              <w:t xml:space="preserve">Determines the quality and duration of the equipment/backlog cycle</w:t>
            </w:r>
          </w:p>
        </w:tc>
      </w:tr>
      <w:tr>
        <w:tc>
          <w:tcPr/>
          <w:p>
            <w:pPr>
              <w:pStyle w:val="Compact"/>
            </w:pPr>
            <w:r>
              <w:rPr>
                <w:b/>
                <w:bCs/>
              </w:rPr>
              <w:t xml:space="preserve">Electrification</w:t>
            </w:r>
          </w:p>
        </w:tc>
        <w:tc>
          <w:tcPr/>
          <w:p>
            <w:pPr>
              <w:pStyle w:val="Compact"/>
            </w:pPr>
            <m:oMath>
              <m:r>
                <m:t>3.3</m:t>
              </m:r>
              <m:r>
                <m:t>B</m:t>
              </m:r>
              <m:r>
                <m:rPr>
                  <m:sty m:val="p"/>
                </m:rPr>
                <m:t>–</m:t>
              </m:r>
            </m:oMath>
            <w:r>
              <w:t xml:space="preserve">3.5B revenue; margin above 17.8%; data-center orders; Prolec performance</w:t>
            </w:r>
          </w:p>
        </w:tc>
        <w:tc>
          <w:tcPr/>
          <w:p>
            <w:pPr>
              <w:pStyle w:val="Compact"/>
            </w:pPr>
            <w:r>
              <w:t xml:space="preserve">Largest near-term growth and margin-expansion engine</w:t>
            </w:r>
          </w:p>
        </w:tc>
      </w:tr>
      <w:tr>
        <w:tc>
          <w:tcPr/>
          <w:p>
            <w:pPr>
              <w:pStyle w:val="Compact"/>
            </w:pPr>
            <w:r>
              <w:rPr>
                <w:b/>
                <w:bCs/>
              </w:rPr>
              <w:t xml:space="preserve">Wind</w:t>
            </w:r>
          </w:p>
        </w:tc>
        <w:tc>
          <w:tcPr/>
          <w:p>
            <w:pPr>
              <w:pStyle w:val="Compact"/>
            </w:pPr>
            <w:r>
              <w:t xml:space="preserve">EBITDA loss within</w:t>
            </w:r>
            <w:r>
              <w:t xml:space="preserve"> </w:t>
            </w:r>
            <m:oMath>
              <m:r>
                <m:t>200</m:t>
              </m:r>
              <m:r>
                <m:t>M</m:t>
              </m:r>
              <m:r>
                <m:rPr>
                  <m:sty m:val="p"/>
                </m:rPr>
                <m:t>–</m:t>
              </m:r>
            </m:oMath>
            <w:r>
              <w:t xml:space="preserve">300M; tariff impacts; second-half recovery commentary</w:t>
            </w:r>
          </w:p>
        </w:tc>
        <w:tc>
          <w:tcPr/>
          <w:p>
            <w:pPr>
              <w:pStyle w:val="Compact"/>
            </w:pPr>
            <w:r>
              <w:t xml:space="preserve">Primary risk to consolidated earnings and guidance confidence</w:t>
            </w:r>
          </w:p>
        </w:tc>
      </w:tr>
      <w:tr>
        <w:tc>
          <w:tcPr/>
          <w:p>
            <w:pPr>
              <w:pStyle w:val="Compact"/>
            </w:pPr>
            <w:r>
              <w:rPr>
                <w:b/>
                <w:bCs/>
              </w:rPr>
              <w:t xml:space="preserve">Cash flow / capital allocation</w:t>
            </w:r>
          </w:p>
        </w:tc>
        <w:tc>
          <w:tcPr/>
          <w:p>
            <w:pPr>
              <w:pStyle w:val="Compact"/>
            </w:pPr>
            <w:r>
              <w:t xml:space="preserve">Positive FCF; customer advances; CapEx; buybacks</w:t>
            </w:r>
          </w:p>
        </w:tc>
        <w:tc>
          <w:tcPr/>
          <w:p>
            <w:pPr>
              <w:pStyle w:val="Compact"/>
            </w:pPr>
            <w:r>
              <w:t xml:space="preserve">Tests whether backlog converts into scalable, durable cash generation</w:t>
            </w:r>
          </w:p>
        </w:tc>
      </w:tr>
    </w:tbl>
    <w:p>
      <w:r>
        <w:pict>
          <v:rect style="width:0;height:1.5pt" o:hralign="center" o:hrstd="t" o:hr="t"/>
        </w:pict>
      </w:r>
    </w:p>
    <w:bookmarkEnd w:id="16"/>
    <w:bookmarkStart w:id="17" w:name="catalysts"/>
    <w:p>
      <w:pPr>
        <w:pStyle w:val="Heading2"/>
      </w:pPr>
      <w:r>
        <w:t xml:space="preserve">Catalysts</w:t>
      </w:r>
    </w:p>
    <w:p>
      <w:pPr>
        <w:pStyle w:val="Compact"/>
        <w:numPr>
          <w:ilvl w:val="0"/>
          <w:numId w:val="1008"/>
        </w:numPr>
      </w:pPr>
      <w:r>
        <w:rPr>
          <w:b/>
          <w:bCs/>
        </w:rPr>
        <w:t xml:space="preserve">Above-plan gas-equipment contracting</w:t>
      </w:r>
      <w:r>
        <w:t xml:space="preserve"> </w:t>
      </w:r>
      <w:r>
        <w:t xml:space="preserve">and stronger-than-expected 2029–2030 backlog coverage.</w:t>
      </w:r>
    </w:p>
    <w:p>
      <w:pPr>
        <w:pStyle w:val="Compact"/>
        <w:numPr>
          <w:ilvl w:val="0"/>
          <w:numId w:val="1008"/>
        </w:numPr>
      </w:pPr>
      <w:r>
        <w:t xml:space="preserve">Further confirmation of gas-turbine pricing above the existing backlog.</w:t>
      </w:r>
    </w:p>
    <w:p>
      <w:pPr>
        <w:pStyle w:val="Compact"/>
        <w:numPr>
          <w:ilvl w:val="0"/>
          <w:numId w:val="1008"/>
        </w:numPr>
      </w:pPr>
      <w:r>
        <w:t xml:space="preserve">Electrification revenue near the high end of guidance with margins above 18%.</w:t>
      </w:r>
    </w:p>
    <w:p>
      <w:pPr>
        <w:pStyle w:val="Compact"/>
        <w:numPr>
          <w:ilvl w:val="0"/>
          <w:numId w:val="1008"/>
        </w:numPr>
      </w:pPr>
      <w:r>
        <w:t xml:space="preserve">Another large data-center/grid-infrastructure order cycle.</w:t>
      </w:r>
    </w:p>
    <w:p>
      <w:pPr>
        <w:pStyle w:val="Compact"/>
        <w:numPr>
          <w:ilvl w:val="0"/>
          <w:numId w:val="1008"/>
        </w:numPr>
      </w:pPr>
      <w:r>
        <w:t xml:space="preserve">Prolec margins and integration tracking better than expected.</w:t>
      </w:r>
    </w:p>
    <w:p>
      <w:pPr>
        <w:pStyle w:val="Compact"/>
        <w:numPr>
          <w:ilvl w:val="0"/>
          <w:numId w:val="1008"/>
        </w:numPr>
      </w:pPr>
      <w:r>
        <w:t xml:space="preserve">Reaffirmed or increased 2026 revenue, margin, and free-cash-flow guidance.</w:t>
      </w:r>
    </w:p>
    <w:p>
      <w:pPr>
        <w:pStyle w:val="Compact"/>
        <w:numPr>
          <w:ilvl w:val="0"/>
          <w:numId w:val="1008"/>
        </w:numPr>
      </w:pPr>
      <w:r>
        <w:t xml:space="preserve">Better-than-feared Wind loss or more confidence in second-half profitability.</w:t>
      </w:r>
    </w:p>
    <w:bookmarkEnd w:id="17"/>
    <w:bookmarkStart w:id="18" w:name="risks"/>
    <w:p>
      <w:pPr>
        <w:pStyle w:val="Heading2"/>
      </w:pPr>
      <w:r>
        <w:t xml:space="preserve">Risks</w:t>
      </w:r>
    </w:p>
    <w:p>
      <w:pPr>
        <w:pStyle w:val="Compact"/>
        <w:numPr>
          <w:ilvl w:val="0"/>
          <w:numId w:val="1009"/>
        </w:numPr>
      </w:pPr>
      <w:r>
        <w:t xml:space="preserve">Strong results but no incremental upside to 2026 guidance, which could disappoint a bullish investor base.</w:t>
      </w:r>
    </w:p>
    <w:p>
      <w:pPr>
        <w:pStyle w:val="Compact"/>
        <w:numPr>
          <w:ilvl w:val="0"/>
          <w:numId w:val="1009"/>
        </w:numPr>
      </w:pPr>
      <w:r>
        <w:t xml:space="preserve">Lower-than-expected gas orders, delayed project conversion, or weaker pricing commentary.</w:t>
      </w:r>
    </w:p>
    <w:p>
      <w:pPr>
        <w:pStyle w:val="Compact"/>
        <w:numPr>
          <w:ilvl w:val="0"/>
          <w:numId w:val="1009"/>
        </w:numPr>
      </w:pPr>
      <w:r>
        <w:t xml:space="preserve">Slower Electrification order flow after an exceptional first quarter.</w:t>
      </w:r>
    </w:p>
    <w:p>
      <w:pPr>
        <w:pStyle w:val="Compact"/>
        <w:numPr>
          <w:ilvl w:val="0"/>
          <w:numId w:val="1009"/>
        </w:numPr>
      </w:pPr>
      <w:r>
        <w:t xml:space="preserve">Tariff escalation or larger-than-expected exposure at Wind and Prolec.</w:t>
      </w:r>
    </w:p>
    <w:p>
      <w:pPr>
        <w:pStyle w:val="Compact"/>
        <w:numPr>
          <w:ilvl w:val="0"/>
          <w:numId w:val="1009"/>
        </w:numPr>
      </w:pPr>
      <w:r>
        <w:t xml:space="preserve">Offshore Wind contract-loss provisions or a delayed Onshore recovery.</w:t>
      </w:r>
    </w:p>
    <w:p>
      <w:pPr>
        <w:pStyle w:val="Compact"/>
        <w:numPr>
          <w:ilvl w:val="0"/>
          <w:numId w:val="1009"/>
        </w:numPr>
      </w:pPr>
      <w:r>
        <w:t xml:space="preserve">Cash-flow volatility if customer advances normalize after the outsized 1Q benefit.</w:t>
      </w:r>
    </w:p>
    <w:p>
      <w:pPr>
        <w:pStyle w:val="Compact"/>
        <w:numPr>
          <w:ilvl w:val="0"/>
          <w:numId w:val="1009"/>
        </w:numPr>
      </w:pPr>
      <w:r>
        <w:t xml:space="preserve">Macro/geopolitical disruption affecting fuel, logistics, global projects, or customer capital spending.</w:t>
      </w:r>
    </w:p>
    <w:p>
      <w:r>
        <w:pict>
          <v:rect style="width:0;height:1.5pt" o:hralign="center" o:hrstd="t" o:hr="t"/>
        </w:pict>
      </w:r>
    </w:p>
    <w:bookmarkEnd w:id="18"/>
    <w:bookmarkStart w:id="19" w:name="bottom-line"/>
    <w:p>
      <w:pPr>
        <w:pStyle w:val="Heading2"/>
      </w:pPr>
      <w:r>
        <w:t xml:space="preserve">Bottom line</w:t>
      </w:r>
    </w:p>
    <w:p>
      <w:pPr>
        <w:pStyle w:val="FirstParagraph"/>
      </w:pPr>
      <w:r>
        <w:rPr>
          <w:b/>
          <w:bCs/>
        </w:rPr>
        <w:t xml:space="preserve">GEV’s 2Q26 report is likely to be judged on forward indicators rather than the headline EPS number.</w:t>
      </w:r>
      <w:r>
        <w:t xml:space="preserve"> </w:t>
      </w:r>
      <w:r>
        <w:t xml:space="preserve">The Street already expects nearly 20% revenue growth and roughly 340 bps of EBITDA-margin expansion. To support upside in the shares, management likely needs to demonstrate that the Power and Electrification order cycle is still accelerating, gas-turbine pricing remains structurally higher, Prolec is performing well, and Wind’s losses are contained.</w:t>
      </w:r>
    </w:p>
    <w:p>
      <w:pPr>
        <w:pStyle w:val="BodyText"/>
      </w:pPr>
      <w:r>
        <w:t xml:space="preserve">The highest-value datapoints will be</w:t>
      </w:r>
      <w:r>
        <w:t xml:space="preserve"> </w:t>
      </w:r>
      <w:r>
        <w:rPr>
          <w:b/>
          <w:bCs/>
        </w:rPr>
        <w:t xml:space="preserve">gas GW contracted and pricing, Electrification/data-center orders and margins, tariff commentary, and whether the company’s raised</w:t>
      </w:r>
      <w:r>
        <w:rPr>
          <w:b/>
          <w:bCs/>
        </w:rPr>
        <w:t xml:space="preserve"> </w:t>
      </w:r>
      <m:oMath>
        <m:r>
          <m:t>6.5</m:t>
        </m:r>
        <m:r>
          <m:t>B</m:t>
        </m:r>
        <m:r>
          <m:rPr>
            <m:sty m:val="p"/>
          </m:rPr>
          <m:t>–</m:t>
        </m:r>
      </m:oMath>
      <w:r>
        <w:rPr>
          <w:b/>
          <w:bCs/>
        </w:rPr>
        <w:t xml:space="preserve">7.5B free-cash-flow outlook is becoming more—not less—comfortable.</w:t>
      </w:r>
    </w:p>
    <w:p>
      <w:pPr>
        <w:pStyle w:val="BodyText"/>
      </w:pPr>
      <w:r>
        <w:rPr>
          <w:i/>
          <w:iCs/>
        </w:rPr>
        <w:t xml:space="preserve">Sources reviewed: GE Vernova 1Q26 earnings release and call transcript; GE Vernova 2Q25 earnings release; GE Vernova December 2025 Investor Update transcript; recent company/sector news and market-price data through July 21,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2026-07-22T00:02:32Z</dcterms:created>
  <dcterms:modified xsi:type="dcterms:W3CDTF">2026-07-22T00:02:32Z</dcterms:modified>
</cp:coreProperties>
</file>

<file path=docProps/custom.xml><?xml version="1.0" encoding="utf-8"?>
<Properties xmlns="http://schemas.openxmlformats.org/officeDocument/2006/custom-properties" xmlns:vt="http://schemas.openxmlformats.org/officeDocument/2006/docPropsVTypes"/>
</file>