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GE Vernova (GEV)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GE Vernova Inc.</w:t>
            </w:r>
          </w:p>
        </w:tc>
      </w:tr>
      <w:tr>
        <w:tc>
          <w:tcPr>
            <w:tcW w:type="dxa" w:w="4320"/>
          </w:tcPr>
          <w:p>
            <w:r>
              <w:rPr>
                <w:rFonts w:ascii="Calibri" w:hAnsi="Calibri"/>
                <w:b/>
                <w:sz w:val="22"/>
              </w:rPr>
              <w:t>Ticker</w:t>
            </w:r>
          </w:p>
        </w:tc>
        <w:tc>
          <w:tcPr>
            <w:tcW w:type="dxa" w:w="4320"/>
          </w:tcPr>
          <w:p>
            <w:r>
              <w:rPr>
                <w:rFonts w:ascii="Calibri" w:hAnsi="Calibri"/>
                <w:sz w:val="22"/>
              </w:rPr>
              <w:t>GEV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Estimated Earnings Date</w:t>
            </w:r>
          </w:p>
        </w:tc>
        <w:tc>
          <w:tcPr>
            <w:tcW w:type="dxa" w:w="4320"/>
          </w:tcPr>
          <w:p>
            <w:r>
              <w:rPr>
                <w:rFonts w:ascii="Calibri" w:hAnsi="Calibri"/>
                <w:sz w:val="22"/>
              </w:rPr>
              <w:t>~July 23, 2026 (based on prior-year Q2 reporting date)</w:t>
            </w:r>
          </w:p>
        </w:tc>
      </w:tr>
      <w:tr>
        <w:tc>
          <w:tcPr>
            <w:tcW w:type="dxa" w:w="4320"/>
          </w:tcPr>
          <w:p>
            <w:r>
              <w:rPr>
                <w:rFonts w:ascii="Calibri" w:hAnsi="Calibri"/>
                <w:b/>
                <w:sz w:val="22"/>
              </w:rPr>
              <w:t>Last Earnings Date</w:t>
            </w:r>
          </w:p>
        </w:tc>
        <w:tc>
          <w:tcPr>
            <w:tcW w:type="dxa" w:w="4320"/>
          </w:tcPr>
          <w:p>
            <w:r>
              <w:rPr>
                <w:rFonts w:ascii="Calibri" w:hAnsi="Calibri"/>
                <w:sz w:val="22"/>
              </w:rPr>
              <w:t>April 22, 2026 (Q1 2026)</w:t>
            </w:r>
          </w:p>
        </w:tc>
      </w:tr>
      <w:tr>
        <w:tc>
          <w:tcPr>
            <w:tcW w:type="dxa" w:w="4320"/>
          </w:tcPr>
          <w:p>
            <w:r>
              <w:rPr>
                <w:rFonts w:ascii="Calibri" w:hAnsi="Calibri"/>
                <w:b/>
                <w:sz w:val="22"/>
              </w:rPr>
              <w:t>Prepared</w:t>
            </w:r>
          </w:p>
        </w:tc>
        <w:tc>
          <w:tcPr>
            <w:tcW w:type="dxa" w:w="4320"/>
          </w:tcPr>
          <w:p>
            <w:r>
              <w:rPr>
                <w:rFonts w:ascii="Calibri" w:hAnsi="Calibri"/>
                <w:sz w:val="22"/>
              </w:rPr>
              <w:t>July 21,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on revenue and EBITDA — the bar is achievable given explicit Q2 guidance, April order momentum that already matched all of Q1 in value, and a rapidly expanding electrification backlog — but the stock's premium multiple leaves little room for any execution shortfall, making order quality and FCF the real swing factors.</w:t>
      </w:r>
    </w:p>
    <w:p>
      <w:r>
        <w:rPr>
          <w:rFonts w:ascii="Calibri" w:hAnsi="Calibri"/>
          <w:b/>
          <w:color w:val="525866"/>
          <w:sz w:val="22"/>
        </w:rPr>
        <w:t xml:space="preserve">Bar &amp; Guidance: </w:t>
      </w:r>
      <w:r>
        <w:rPr>
          <w:rFonts w:ascii="Calibri" w:hAnsi="Calibri"/>
          <w:color w:val="525866"/>
          <w:sz w:val="22"/>
        </w:rPr>
        <w:t xml:space="preserve">Management provided explicit Q2 2026 segment guidance on the April 22 earnings call: Power revenue growth of 15–17% YoY with EBITDA margins of 17–18%, Electrification revenue of $3.3–3.5B with margins modestly above Q1's ~9.6%, and Wind revenue down mid-teens with EBITDA losses of $200–300M. Consensus for Q2 2026 total revenue sits at ~$10.8B and operating EBITDA at ~$1.28B (11.8% margin), both broadly in line with the guided ranges, suggesting the bar is calibrated rather than stretched. </w:t>
      </w:r>
    </w:p>
    <w:p>
      <w:r>
        <w:rPr>
          <w:rFonts w:ascii="Calibri" w:hAnsi="Calibri"/>
          <w:b/>
          <w:color w:val="525866"/>
          <w:sz w:val="22"/>
        </w:rPr>
        <w:t xml:space="preserve">Estimate Trajectory &amp; Tone: </w:t>
      </w:r>
      <w:r>
        <w:rPr>
          <w:rFonts w:ascii="Calibri" w:hAnsi="Calibri"/>
          <w:color w:val="525866"/>
          <w:sz w:val="22"/>
        </w:rPr>
        <w:t xml:space="preserve">Estimates have moved modestly higher since the Q1 print — Q2 revenue consensus is up ~$0.5B vs. the post-Q1 baseline, and FY2026 revenue consensus of ~$45.5B sits at the top of the raised $44.5–45.5B guidance range, implying the Street has already absorbed the guidance raise with little incremental cushion. Management tone has been unambiguously confident: April quarter-to-date power equipment orders in value already exceeded all of Q1, the $200B backlog target was pulled forward to 2027 from 2028, and the full-year FCF guide was raised to $6.5–7.5B from $5.0–5.5B — a dramatic acceleration driven by down payments on slot reservation agreements. </w:t>
      </w:r>
    </w:p>
    <w:p>
      <w:r>
        <w:rPr>
          <w:rFonts w:ascii="Calibri" w:hAnsi="Calibri"/>
          <w:b/>
          <w:color w:val="525866"/>
          <w:sz w:val="22"/>
        </w:rPr>
        <w:t xml:space="preserve">Stock Setup: </w:t>
      </w:r>
      <w:r>
        <w:rPr>
          <w:rFonts w:ascii="Calibri" w:hAnsi="Calibri"/>
          <w:color w:val="525866"/>
          <w:sz w:val="22"/>
        </w:rPr>
        <w:t xml:space="preserve">GEV has underperformed both the S&amp;P 500 (+5.2%) and XLI (+4.5%) since the Q1 print, declining ~4.3% on an indexed basis through July 21, 2026, despite the fundamental beat and guidance raise. This relative weakness likely reflects the stock's elevated entry multiple and some rotation out of high-multiple industrials, but it also means the stock is not pricing in incremental upside — a clean beat with strong orders could re-rate the stock higher from a less-stretched starting point. </w:t>
      </w:r>
    </w:p>
    <w:p>
      <w:r>
        <w:rPr>
          <w:rFonts w:ascii="Calibri" w:hAnsi="Calibri"/>
          <w:b/>
          <w:color w:val="525866"/>
          <w:sz w:val="22"/>
        </w:rPr>
        <w:t xml:space="preserve">Wildcard: </w:t>
      </w:r>
      <w:r>
        <w:rPr>
          <w:rFonts w:ascii="Calibri" w:hAnsi="Calibri"/>
          <w:color w:val="525866"/>
          <w:sz w:val="22"/>
        </w:rPr>
        <w:t xml:space="preserve">The single biggest swing factor is </w:t>
      </w:r>
      <w:r>
        <w:rPr>
          <w:rFonts w:ascii="Calibri" w:hAnsi="Calibri"/>
          <w:b/>
          <w:color w:val="525866"/>
          <w:sz w:val="22"/>
        </w:rPr>
        <w:t>gas power order momentum and slot reservation agreement (SRA) pricing</w:t>
      </w:r>
      <w:r>
        <w:rPr>
          <w:rFonts w:ascii="Calibri" w:hAnsi="Calibri"/>
          <w:color w:val="525866"/>
          <w:sz w:val="22"/>
        </w:rPr>
        <w:t xml:space="preserve"> — management guided to 10–15 GW of Q2 gas contracts and stated SRAs are running 10–20 points above current backlog on a $/kW basis. Any upside surprise here (e.g., framework agreements converting to signed contracts with one or more of the ~30–35 counterparties in discussion) would be a material positive catalyst, while a shortfall vs. the 10–15 GW guide would raise questions about whether the 110 GW year-end target is achievable.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calibrated, achievable bar — management provided explicit Q2 segment guidance that brackets current estimates. </w:t>
      </w:r>
      <w:r>
        <w:rPr>
          <w:rFonts w:ascii="Calibri" w:hAnsi="Calibri"/>
          <w:b/>
          <w:color w:val="525866"/>
          <w:sz w:val="22"/>
        </w:rPr>
        <w:t>Electrification revenue and total orders are the bigger swing factors</w:t>
      </w:r>
      <w:r>
        <w:rPr>
          <w:rFonts w:ascii="Calibri" w:hAnsi="Calibri"/>
          <w:color w:val="525866"/>
          <w:sz w:val="22"/>
        </w:rPr>
        <w:t>, as both have been running well ahead of prior expectations and any further acceleration would drive meaningful upside to the FY guide.</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$9.34B</w:t>
            </w:r>
          </w:p>
        </w:tc>
        <w:tc>
          <w:tcPr>
            <w:tcW w:type="dxa" w:w="1234"/>
          </w:tcPr>
          <w:p>
            <w:r>
              <w:rPr>
                <w:rFonts w:ascii="Calibri" w:hAnsi="Calibri"/>
                <w:sz w:val="22"/>
              </w:rPr>
              <w:t>$9.11B</w:t>
            </w:r>
          </w:p>
        </w:tc>
        <w:tc>
          <w:tcPr>
            <w:tcW w:type="dxa" w:w="1234"/>
          </w:tcPr>
          <w:p>
            <w:r>
              <w:rPr>
                <w:rFonts w:ascii="Calibri" w:hAnsi="Calibri"/>
                <w:sz w:val="22"/>
              </w:rPr>
              <w:t>$10.80B</w:t>
            </w:r>
          </w:p>
        </w:tc>
        <w:tc>
          <w:tcPr>
            <w:tcW w:type="dxa" w:w="1234"/>
          </w:tcPr>
          <w:p>
            <w:r>
              <w:rPr>
                <w:rFonts w:ascii="Calibri" w:hAnsi="Calibri"/>
                <w:sz w:val="22"/>
              </w:rPr>
              <w:t>+18.5% YoY</w:t>
            </w:r>
          </w:p>
        </w:tc>
        <w:tc>
          <w:tcPr>
            <w:tcW w:type="dxa" w:w="1234"/>
          </w:tcPr>
          <w:p>
            <w:r>
              <w:rPr>
                <w:rFonts w:ascii="Calibri" w:hAnsi="Calibri"/>
                <w:sz w:val="22"/>
              </w:rPr>
              <w:t>~$10.5–11.0B (implied by segment guides)</w:t>
            </w:r>
          </w:p>
        </w:tc>
        <w:tc>
          <w:tcPr>
            <w:tcW w:type="dxa" w:w="1234"/>
          </w:tcPr>
          <w:p>
            <w:r>
              <w:rPr>
                <w:rFonts w:ascii="Calibri" w:hAnsi="Calibri"/>
                <w:sz w:val="22"/>
              </w:rPr>
              <w:t>~+3% above midpoint</w:t>
            </w:r>
          </w:p>
        </w:tc>
      </w:tr>
      <w:tr>
        <w:tc>
          <w:tcPr>
            <w:tcW w:type="dxa" w:w="1234"/>
          </w:tcPr>
          <w:p>
            <w:r>
              <w:rPr>
                <w:rFonts w:ascii="Calibri" w:hAnsi="Calibri"/>
                <w:sz w:val="22"/>
              </w:rPr>
              <w:t>Revenue — Power ($B)</w:t>
            </w:r>
          </w:p>
        </w:tc>
        <w:tc>
          <w:tcPr>
            <w:tcW w:type="dxa" w:w="1234"/>
          </w:tcPr>
          <w:p>
            <w:r>
              <w:rPr>
                <w:rFonts w:ascii="Calibri" w:hAnsi="Calibri"/>
                <w:sz w:val="22"/>
              </w:rPr>
              <w:t>$4.97B</w:t>
            </w:r>
          </w:p>
        </w:tc>
        <w:tc>
          <w:tcPr>
            <w:tcW w:type="dxa" w:w="1234"/>
          </w:tcPr>
          <w:p>
            <w:r>
              <w:rPr>
                <w:rFonts w:ascii="Calibri" w:hAnsi="Calibri"/>
                <w:sz w:val="22"/>
              </w:rPr>
              <w:t>$4.78B</w:t>
            </w:r>
          </w:p>
        </w:tc>
        <w:tc>
          <w:tcPr>
            <w:tcW w:type="dxa" w:w="1234"/>
          </w:tcPr>
          <w:p>
            <w:r>
              <w:rPr>
                <w:rFonts w:ascii="Calibri" w:hAnsi="Calibri"/>
                <w:sz w:val="22"/>
              </w:rPr>
              <w:t>$5.59B</w:t>
            </w:r>
          </w:p>
        </w:tc>
        <w:tc>
          <w:tcPr>
            <w:tcW w:type="dxa" w:w="1234"/>
          </w:tcPr>
          <w:p>
            <w:r>
              <w:rPr>
                <w:rFonts w:ascii="Calibri" w:hAnsi="Calibri"/>
                <w:sz w:val="22"/>
              </w:rPr>
              <w:t>+16.9% YoY</w:t>
            </w:r>
          </w:p>
        </w:tc>
        <w:tc>
          <w:tcPr>
            <w:tcW w:type="dxa" w:w="1234"/>
          </w:tcPr>
          <w:p>
            <w:r>
              <w:rPr>
                <w:rFonts w:ascii="Calibri" w:hAnsi="Calibri"/>
                <w:sz w:val="22"/>
              </w:rPr>
              <w:t>+15% to +17% YoY</w:t>
            </w:r>
          </w:p>
        </w:tc>
        <w:tc>
          <w:tcPr>
            <w:tcW w:type="dxa" w:w="1234"/>
          </w:tcPr>
          <w:p>
            <w:r>
              <w:rPr>
                <w:rFonts w:ascii="Calibri" w:hAnsi="Calibri"/>
                <w:sz w:val="22"/>
              </w:rPr>
              <w:t>~+1% above midpoint</w:t>
            </w:r>
          </w:p>
        </w:tc>
      </w:tr>
      <w:tr>
        <w:tc>
          <w:tcPr>
            <w:tcW w:type="dxa" w:w="1234"/>
          </w:tcPr>
          <w:p>
            <w:r>
              <w:rPr>
                <w:rFonts w:ascii="Calibri" w:hAnsi="Calibri"/>
                <w:sz w:val="22"/>
              </w:rPr>
              <w:t>Revenue — Electrification ($B)</w:t>
            </w:r>
          </w:p>
        </w:tc>
        <w:tc>
          <w:tcPr>
            <w:tcW w:type="dxa" w:w="1234"/>
          </w:tcPr>
          <w:p>
            <w:r>
              <w:rPr>
                <w:rFonts w:ascii="Calibri" w:hAnsi="Calibri"/>
                <w:sz w:val="22"/>
              </w:rPr>
              <w:t>$2.96B</w:t>
            </w:r>
          </w:p>
        </w:tc>
        <w:tc>
          <w:tcPr>
            <w:tcW w:type="dxa" w:w="1234"/>
          </w:tcPr>
          <w:p>
            <w:r>
              <w:rPr>
                <w:rFonts w:ascii="Calibri" w:hAnsi="Calibri"/>
                <w:sz w:val="22"/>
              </w:rPr>
              <w:t>$2.16B</w:t>
            </w:r>
          </w:p>
        </w:tc>
        <w:tc>
          <w:tcPr>
            <w:tcW w:type="dxa" w:w="1234"/>
          </w:tcPr>
          <w:p>
            <w:r>
              <w:rPr>
                <w:rFonts w:ascii="Calibri" w:hAnsi="Calibri"/>
                <w:sz w:val="22"/>
              </w:rPr>
              <w:t>$3.45B</w:t>
            </w:r>
          </w:p>
        </w:tc>
        <w:tc>
          <w:tcPr>
            <w:tcW w:type="dxa" w:w="1234"/>
          </w:tcPr>
          <w:p>
            <w:r>
              <w:rPr>
                <w:rFonts w:ascii="Calibri" w:hAnsi="Calibri"/>
                <w:sz w:val="22"/>
              </w:rPr>
              <w:t>+59.5% YoY</w:t>
            </w:r>
          </w:p>
        </w:tc>
        <w:tc>
          <w:tcPr>
            <w:tcW w:type="dxa" w:w="1234"/>
          </w:tcPr>
          <w:p>
            <w:r>
              <w:rPr>
                <w:rFonts w:ascii="Calibri" w:hAnsi="Calibri"/>
                <w:sz w:val="22"/>
              </w:rPr>
              <w:t>$3.3B–$3.5B</w:t>
            </w:r>
          </w:p>
        </w:tc>
        <w:tc>
          <w:tcPr>
            <w:tcW w:type="dxa" w:w="1234"/>
          </w:tcPr>
          <w:p>
            <w:r>
              <w:rPr>
                <w:rFonts w:ascii="Calibri" w:hAnsi="Calibri"/>
                <w:sz w:val="22"/>
              </w:rPr>
              <w:t>~+2% above midpoint</w:t>
            </w:r>
          </w:p>
        </w:tc>
      </w:tr>
      <w:tr>
        <w:tc>
          <w:tcPr>
            <w:tcW w:type="dxa" w:w="1234"/>
          </w:tcPr>
          <w:p>
            <w:r>
              <w:rPr>
                <w:rFonts w:ascii="Calibri" w:hAnsi="Calibri"/>
                <w:sz w:val="22"/>
              </w:rPr>
              <w:t>Revenue — Wind ($B)</w:t>
            </w:r>
          </w:p>
        </w:tc>
        <w:tc>
          <w:tcPr>
            <w:tcW w:type="dxa" w:w="1234"/>
          </w:tcPr>
          <w:p>
            <w:r>
              <w:rPr>
                <w:rFonts w:ascii="Calibri" w:hAnsi="Calibri"/>
                <w:sz w:val="22"/>
              </w:rPr>
              <w:t>$1.43B</w:t>
            </w:r>
          </w:p>
        </w:tc>
        <w:tc>
          <w:tcPr>
            <w:tcW w:type="dxa" w:w="1234"/>
          </w:tcPr>
          <w:p>
            <w:r>
              <w:rPr>
                <w:rFonts w:ascii="Calibri" w:hAnsi="Calibri"/>
                <w:sz w:val="22"/>
              </w:rPr>
              <w:t>$2.25B</w:t>
            </w:r>
          </w:p>
        </w:tc>
        <w:tc>
          <w:tcPr>
            <w:tcW w:type="dxa" w:w="1234"/>
          </w:tcPr>
          <w:p>
            <w:r>
              <w:rPr>
                <w:rFonts w:ascii="Calibri" w:hAnsi="Calibri"/>
                <w:sz w:val="22"/>
              </w:rPr>
              <w:t>$1.85B</w:t>
            </w:r>
          </w:p>
        </w:tc>
        <w:tc>
          <w:tcPr>
            <w:tcW w:type="dxa" w:w="1234"/>
          </w:tcPr>
          <w:p>
            <w:r>
              <w:rPr>
                <w:rFonts w:ascii="Calibri" w:hAnsi="Calibri"/>
                <w:sz w:val="22"/>
              </w:rPr>
              <w:t>-17.6% YoY</w:t>
            </w:r>
          </w:p>
        </w:tc>
        <w:tc>
          <w:tcPr>
            <w:tcW w:type="dxa" w:w="1234"/>
          </w:tcPr>
          <w:p>
            <w:r>
              <w:rPr>
                <w:rFonts w:ascii="Calibri" w:hAnsi="Calibri"/>
                <w:sz w:val="22"/>
              </w:rPr>
              <w:t>Down mid-teens YoY</w:t>
            </w:r>
          </w:p>
        </w:tc>
        <w:tc>
          <w:tcPr>
            <w:tcW w:type="dxa" w:w="1234"/>
          </w:tcPr>
          <w:p>
            <w:r>
              <w:rPr>
                <w:rFonts w:ascii="Calibri" w:hAnsi="Calibri"/>
                <w:sz w:val="22"/>
              </w:rPr>
              <w:t>~In line with guide</w:t>
            </w:r>
          </w:p>
        </w:tc>
      </w:tr>
      <w:tr>
        <w:tc>
          <w:tcPr>
            <w:tcW w:type="dxa" w:w="1234"/>
          </w:tcPr>
          <w:p>
            <w:r>
              <w:rPr>
                <w:rFonts w:ascii="Calibri" w:hAnsi="Calibri"/>
                <w:sz w:val="22"/>
              </w:rPr>
              <w:t>Adj. EBITDA — Operating ($B)</w:t>
            </w:r>
          </w:p>
        </w:tc>
        <w:tc>
          <w:tcPr>
            <w:tcW w:type="dxa" w:w="1234"/>
          </w:tcPr>
          <w:p>
            <w:r>
              <w:rPr>
                <w:rFonts w:ascii="Calibri" w:hAnsi="Calibri"/>
                <w:sz w:val="22"/>
              </w:rPr>
              <w:t>$0.896B</w:t>
            </w:r>
          </w:p>
        </w:tc>
        <w:tc>
          <w:tcPr>
            <w:tcW w:type="dxa" w:w="1234"/>
          </w:tcPr>
          <w:p>
            <w:r>
              <w:rPr>
                <w:rFonts w:ascii="Calibri" w:hAnsi="Calibri"/>
                <w:sz w:val="22"/>
              </w:rPr>
              <w:t>$0.770B</w:t>
            </w:r>
          </w:p>
        </w:tc>
        <w:tc>
          <w:tcPr>
            <w:tcW w:type="dxa" w:w="1234"/>
          </w:tcPr>
          <w:p>
            <w:r>
              <w:rPr>
                <w:rFonts w:ascii="Calibri" w:hAnsi="Calibri"/>
                <w:sz w:val="22"/>
              </w:rPr>
              <w:t>$1.278B</w:t>
            </w:r>
          </w:p>
        </w:tc>
        <w:tc>
          <w:tcPr>
            <w:tcW w:type="dxa" w:w="1234"/>
          </w:tcPr>
          <w:p>
            <w:r>
              <w:rPr>
                <w:rFonts w:ascii="Calibri" w:hAnsi="Calibri"/>
                <w:sz w:val="22"/>
              </w:rPr>
              <w:t>+65.9% YoY</w:t>
            </w:r>
          </w:p>
        </w:tc>
        <w:tc>
          <w:tcPr>
            <w:tcW w:type="dxa" w:w="1234"/>
          </w:tcPr>
          <w:p>
            <w:r>
              <w:rPr>
                <w:rFonts w:ascii="Calibri" w:hAnsi="Calibri"/>
                <w:sz w:val="22"/>
              </w:rPr>
              <w:t>Margin expansion YoY (Power 17–18%, Elec. above Q1)</w:t>
            </w:r>
          </w:p>
        </w:tc>
        <w:tc>
          <w:tcPr>
            <w:tcW w:type="dxa" w:w="1234"/>
          </w:tcPr>
          <w:p>
            <w:r>
              <w:rPr>
                <w:rFonts w:ascii="Calibri" w:hAnsi="Calibri"/>
                <w:sz w:val="22"/>
              </w:rPr>
              <w:t>~In line</w:t>
            </w:r>
          </w:p>
        </w:tc>
      </w:tr>
      <w:tr>
        <w:tc>
          <w:tcPr>
            <w:tcW w:type="dxa" w:w="1234"/>
          </w:tcPr>
          <w:p>
            <w:r>
              <w:rPr>
                <w:rFonts w:ascii="Calibri" w:hAnsi="Calibri"/>
                <w:sz w:val="22"/>
              </w:rPr>
              <w:t>Adj. EBITDA Margin — Operating (%)</w:t>
            </w:r>
          </w:p>
        </w:tc>
        <w:tc>
          <w:tcPr>
            <w:tcW w:type="dxa" w:w="1234"/>
          </w:tcPr>
          <w:p>
            <w:r>
              <w:rPr>
                <w:rFonts w:ascii="Calibri" w:hAnsi="Calibri"/>
                <w:sz w:val="22"/>
              </w:rPr>
              <w:t>9.6%</w:t>
            </w:r>
          </w:p>
        </w:tc>
        <w:tc>
          <w:tcPr>
            <w:tcW w:type="dxa" w:w="1234"/>
          </w:tcPr>
          <w:p>
            <w:r>
              <w:rPr>
                <w:rFonts w:ascii="Calibri" w:hAnsi="Calibri"/>
                <w:sz w:val="22"/>
              </w:rPr>
              <w:t>8.5%</w:t>
            </w:r>
          </w:p>
        </w:tc>
        <w:tc>
          <w:tcPr>
            <w:tcW w:type="dxa" w:w="1234"/>
          </w:tcPr>
          <w:p>
            <w:r>
              <w:rPr>
                <w:rFonts w:ascii="Calibri" w:hAnsi="Calibri"/>
                <w:sz w:val="22"/>
              </w:rPr>
              <w:t>11.8%</w:t>
            </w:r>
          </w:p>
        </w:tc>
        <w:tc>
          <w:tcPr>
            <w:tcW w:type="dxa" w:w="1234"/>
          </w:tcPr>
          <w:p>
            <w:r>
              <w:rPr>
                <w:rFonts w:ascii="Calibri" w:hAnsi="Calibri"/>
                <w:sz w:val="22"/>
              </w:rPr>
              <w:t>+330 bps YoY</w:t>
            </w:r>
          </w:p>
        </w:tc>
        <w:tc>
          <w:tcPr>
            <w:tcW w:type="dxa" w:w="1234"/>
          </w:tcPr>
          <w:p>
            <w:r>
              <w:rPr>
                <w:rFonts w:ascii="Calibri" w:hAnsi="Calibri"/>
                <w:sz w:val="22"/>
              </w:rPr>
              <w:t>Expansion YoY across company</w:t>
            </w:r>
          </w:p>
        </w:tc>
        <w:tc>
          <w:tcPr>
            <w:tcW w:type="dxa" w:w="1234"/>
          </w:tcPr>
          <w:p>
            <w:r>
              <w:rPr>
                <w:rFonts w:ascii="Calibri" w:hAnsi="Calibri"/>
                <w:sz w:val="22"/>
              </w:rPr>
              <w:t>~In line</w:t>
            </w:r>
          </w:p>
        </w:tc>
      </w:tr>
      <w:tr>
        <w:tc>
          <w:tcPr>
            <w:tcW w:type="dxa" w:w="1234"/>
          </w:tcPr>
          <w:p>
            <w:r>
              <w:rPr>
                <w:rFonts w:ascii="Calibri" w:hAnsi="Calibri"/>
                <w:sz w:val="22"/>
              </w:rPr>
              <w:t>Adj. EPS — Diluted Operating ($)</w:t>
            </w:r>
          </w:p>
        </w:tc>
        <w:tc>
          <w:tcPr>
            <w:tcW w:type="dxa" w:w="1234"/>
          </w:tcPr>
          <w:p>
            <w:r>
              <w:rPr>
                <w:rFonts w:ascii="Calibri" w:hAnsi="Calibri"/>
                <w:sz w:val="22"/>
              </w:rPr>
              <w:t>$0.86</w:t>
            </w:r>
          </w:p>
        </w:tc>
        <w:tc>
          <w:tcPr>
            <w:tcW w:type="dxa" w:w="1234"/>
          </w:tcPr>
          <w:p>
            <w:r>
              <w:rPr>
                <w:rFonts w:ascii="Calibri" w:hAnsi="Calibri"/>
                <w:sz w:val="22"/>
              </w:rPr>
              <w:t>$1.74</w:t>
            </w:r>
          </w:p>
        </w:tc>
        <w:tc>
          <w:tcPr>
            <w:tcW w:type="dxa" w:w="1234"/>
          </w:tcPr>
          <w:p>
            <w:r>
              <w:rPr>
                <w:rFonts w:ascii="Calibri" w:hAnsi="Calibri"/>
                <w:sz w:val="22"/>
              </w:rPr>
              <w:t>$2.88</w:t>
            </w:r>
          </w:p>
        </w:tc>
        <w:tc>
          <w:tcPr>
            <w:tcW w:type="dxa" w:w="1234"/>
          </w:tcPr>
          <w:p>
            <w:r>
              <w:rPr>
                <w:rFonts w:ascii="Calibri" w:hAnsi="Calibri"/>
                <w:sz w:val="22"/>
              </w:rPr>
              <w:t>+65.3% YoY</w:t>
            </w:r>
          </w:p>
        </w:tc>
        <w:tc>
          <w:tcPr>
            <w:tcW w:type="dxa" w:w="1234"/>
          </w:tcPr>
          <w:p>
            <w:r>
              <w:rPr>
                <w:rFonts w:ascii="Calibri" w:hAnsi="Calibri"/>
                <w:sz w:val="22"/>
              </w:rPr>
              <w:t>No specific EPS guide provided</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$4.791B</w:t>
            </w:r>
          </w:p>
        </w:tc>
        <w:tc>
          <w:tcPr>
            <w:tcW w:type="dxa" w:w="1234"/>
          </w:tcPr>
          <w:p>
            <w:r>
              <w:rPr>
                <w:rFonts w:ascii="Calibri" w:hAnsi="Calibri"/>
                <w:sz w:val="22"/>
              </w:rPr>
              <w:t>$0.194B</w:t>
            </w:r>
          </w:p>
        </w:tc>
        <w:tc>
          <w:tcPr>
            <w:tcW w:type="dxa" w:w="1234"/>
          </w:tcPr>
          <w:p>
            <w:r>
              <w:rPr>
                <w:rFonts w:ascii="Calibri" w:hAnsi="Calibri"/>
                <w:sz w:val="22"/>
              </w:rPr>
              <w:t>$0.807B</w:t>
            </w:r>
          </w:p>
        </w:tc>
        <w:tc>
          <w:tcPr>
            <w:tcW w:type="dxa" w:w="1234"/>
          </w:tcPr>
          <w:p>
            <w:r>
              <w:rPr>
                <w:rFonts w:ascii="Calibri" w:hAnsi="Calibri"/>
                <w:sz w:val="22"/>
              </w:rPr>
              <w:t>N/M (Q1 FCF was exceptional)</w:t>
            </w:r>
          </w:p>
        </w:tc>
        <w:tc>
          <w:tcPr>
            <w:tcW w:type="dxa" w:w="1234"/>
          </w:tcPr>
          <w:p>
            <w:r>
              <w:rPr>
                <w:rFonts w:ascii="Calibri" w:hAnsi="Calibri"/>
                <w:sz w:val="22"/>
              </w:rPr>
              <w:t>Positive FCF in Q2</w:t>
            </w:r>
          </w:p>
        </w:tc>
        <w:tc>
          <w:tcPr>
            <w:tcW w:type="dxa" w:w="1234"/>
          </w:tcPr>
          <w:p>
            <w:r>
              <w:rPr>
                <w:rFonts w:ascii="Calibri" w:hAnsi="Calibri"/>
                <w:sz w:val="22"/>
              </w:rPr>
              <w:t>~In line</w:t>
            </w:r>
          </w:p>
        </w:tc>
      </w:tr>
      <w:tr>
        <w:tc>
          <w:tcPr>
            <w:tcW w:type="dxa" w:w="1234"/>
          </w:tcPr>
          <w:p>
            <w:r>
              <w:rPr>
                <w:rFonts w:ascii="Calibri" w:hAnsi="Calibri"/>
                <w:sz w:val="22"/>
              </w:rPr>
              <w:t>Total Orders ($B)</w:t>
            </w:r>
          </w:p>
        </w:tc>
        <w:tc>
          <w:tcPr>
            <w:tcW w:type="dxa" w:w="1234"/>
          </w:tcPr>
          <w:p>
            <w:r>
              <w:rPr>
                <w:rFonts w:ascii="Calibri" w:hAnsi="Calibri"/>
                <w:sz w:val="22"/>
              </w:rPr>
              <w:t>$18.28B</w:t>
            </w:r>
          </w:p>
        </w:tc>
        <w:tc>
          <w:tcPr>
            <w:tcW w:type="dxa" w:w="1234"/>
          </w:tcPr>
          <w:p>
            <w:r>
              <w:rPr>
                <w:rFonts w:ascii="Calibri" w:hAnsi="Calibri"/>
                <w:sz w:val="22"/>
              </w:rPr>
              <w:t>$12.36B</w:t>
            </w:r>
          </w:p>
        </w:tc>
        <w:tc>
          <w:tcPr>
            <w:tcW w:type="dxa" w:w="1234"/>
          </w:tcPr>
          <w:p>
            <w:r>
              <w:rPr>
                <w:rFonts w:ascii="Calibri" w:hAnsi="Calibri"/>
                <w:sz w:val="22"/>
              </w:rPr>
              <w:t>$19.90B</w:t>
            </w:r>
          </w:p>
        </w:tc>
        <w:tc>
          <w:tcPr>
            <w:tcW w:type="dxa" w:w="1234"/>
          </w:tcPr>
          <w:p>
            <w:r>
              <w:rPr>
                <w:rFonts w:ascii="Calibri" w:hAnsi="Calibri"/>
                <w:sz w:val="22"/>
              </w:rPr>
              <w:t>+60.9% YoY</w:t>
            </w:r>
          </w:p>
        </w:tc>
        <w:tc>
          <w:tcPr>
            <w:tcW w:type="dxa" w:w="1234"/>
          </w:tcPr>
          <w:p>
            <w:r>
              <w:rPr>
                <w:rFonts w:ascii="Calibri" w:hAnsi="Calibri"/>
                <w:sz w:val="22"/>
              </w:rPr>
              <w:t>10–15 GW gas contracts; solid Elec. orders</w:t>
            </w:r>
          </w:p>
        </w:tc>
        <w:tc>
          <w:tcPr>
            <w:tcW w:type="dxa" w:w="1234"/>
          </w:tcPr>
          <w:p>
            <w:r>
              <w:rPr>
                <w:rFonts w:ascii="Calibri" w:hAnsi="Calibri"/>
                <w:sz w:val="22"/>
              </w:rPr>
              <w:t>~In line / slight upside risk</w:t>
            </w:r>
          </w:p>
        </w:tc>
      </w:tr>
      <w:tr>
        <w:tc>
          <w:tcPr>
            <w:tcW w:type="dxa" w:w="1234"/>
          </w:tcPr>
          <w:p>
            <w:r>
              <w:rPr>
                <w:rFonts w:ascii="Calibri" w:hAnsi="Calibri"/>
                <w:sz w:val="22"/>
              </w:rPr>
              <w:t>Total Backlog ($B)</w:t>
            </w:r>
          </w:p>
        </w:tc>
        <w:tc>
          <w:tcPr>
            <w:tcW w:type="dxa" w:w="1234"/>
          </w:tcPr>
          <w:p>
            <w:r>
              <w:rPr>
                <w:rFonts w:ascii="Calibri" w:hAnsi="Calibri"/>
                <w:sz w:val="22"/>
              </w:rPr>
              <w:t>$163.3B</w:t>
            </w:r>
          </w:p>
        </w:tc>
        <w:tc>
          <w:tcPr>
            <w:tcW w:type="dxa" w:w="1234"/>
          </w:tcPr>
          <w:p>
            <w:r>
              <w:rPr>
                <w:rFonts w:ascii="Calibri" w:hAnsi="Calibri"/>
                <w:sz w:val="22"/>
              </w:rPr>
              <w:t>$128.8B</w:t>
            </w:r>
          </w:p>
        </w:tc>
        <w:tc>
          <w:tcPr>
            <w:tcW w:type="dxa" w:w="1234"/>
          </w:tcPr>
          <w:p>
            <w:r>
              <w:rPr>
                <w:rFonts w:ascii="Calibri" w:hAnsi="Calibri"/>
                <w:sz w:val="22"/>
              </w:rPr>
              <w:t>$172.6B</w:t>
            </w:r>
          </w:p>
        </w:tc>
        <w:tc>
          <w:tcPr>
            <w:tcW w:type="dxa" w:w="1234"/>
          </w:tcPr>
          <w:p>
            <w:r>
              <w:rPr>
                <w:rFonts w:ascii="Calibri" w:hAnsi="Calibri"/>
                <w:sz w:val="22"/>
              </w:rPr>
              <w:t>+34.0% YoY</w:t>
            </w:r>
          </w:p>
        </w:tc>
        <w:tc>
          <w:tcPr>
            <w:tcW w:type="dxa" w:w="1234"/>
          </w:tcPr>
          <w:p>
            <w:r>
              <w:rPr>
                <w:rFonts w:ascii="Calibri" w:hAnsi="Calibri"/>
                <w:sz w:val="22"/>
              </w:rPr>
              <w:t>$200B target by 2027</w:t>
            </w:r>
          </w:p>
        </w:tc>
        <w:tc>
          <w:tcPr>
            <w:tcW w:type="dxa" w:w="1234"/>
          </w:tcPr>
          <w:p>
            <w:r>
              <w:rPr>
                <w:rFonts w:ascii="Calibri" w:hAnsi="Calibri"/>
                <w:sz w:val="22"/>
              </w:rPr>
              <w:t>~In line</w:t>
            </w:r>
          </w:p>
        </w:tc>
      </w:tr>
    </w:tbl>
    <w:p>
      <w:r>
        <w:rPr>
          <w:rFonts w:ascii="Calibri" w:hAnsi="Calibri"/>
          <w:i/>
          <w:color w:val="525866"/>
          <w:sz w:val="22"/>
        </w:rPr>
        <w:t>Source: Visible Alpha Consensus and Actuals Data; GEV Q1 2026 Earnings Call (April 22, 2026). Q2 2026 consensus estimates as of July 21, 2026. Q1 2026 actuals are the most recently reported figures. Note: Q1 2026 FCF of $4.791B was exceptionally elevated due to large down payments on slot reservation agreements; Q2 FCF consensus of $0.807B reflects normalization.</w:t>
      </w:r>
    </w:p>
    <w:p>
      <w:pPr>
        <w:pStyle w:val="Heading3"/>
      </w:pPr>
      <w:r>
        <w:rPr>
          <w:rFonts w:ascii="Calibri" w:hAnsi="Calibri"/>
          <w:b/>
          <w:color w:val="3B4259"/>
          <w:sz w:val="24"/>
        </w:rPr>
        <w:t>Table 2 — Beat/Miss History (Last 8 Quarters, Top 2 KPIs: Revenue &amp; Adj. EBITDA)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$9.34B</w:t>
            </w:r>
          </w:p>
        </w:tc>
        <w:tc>
          <w:tcPr>
            <w:tcW w:type="dxa" w:w="1440"/>
          </w:tcPr>
          <w:p>
            <w:r>
              <w:rPr>
                <w:rFonts w:ascii="Calibri" w:hAnsi="Calibri"/>
                <w:sz w:val="22"/>
              </w:rPr>
              <w:t>$9.26B</w:t>
            </w:r>
          </w:p>
        </w:tc>
        <w:tc>
          <w:tcPr>
            <w:tcW w:type="dxa" w:w="1440"/>
          </w:tcPr>
          <w:p>
            <w:r>
              <w:rPr>
                <w:rFonts w:ascii="Calibri" w:hAnsi="Calibri"/>
                <w:b/>
                <w:color w:val="30A46C"/>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$0.896B</w:t>
            </w:r>
          </w:p>
        </w:tc>
        <w:tc>
          <w:tcPr>
            <w:tcW w:type="dxa" w:w="1440"/>
          </w:tcPr>
          <w:p>
            <w:r>
              <w:rPr>
                <w:rFonts w:ascii="Calibri" w:hAnsi="Calibri"/>
                <w:sz w:val="22"/>
              </w:rPr>
              <w:t>$0.773B</w:t>
            </w:r>
          </w:p>
        </w:tc>
        <w:tc>
          <w:tcPr>
            <w:tcW w:type="dxa" w:w="1440"/>
          </w:tcPr>
          <w:p>
            <w:r>
              <w:rPr>
                <w:rFonts w:ascii="Calibri" w:hAnsi="Calibri"/>
                <w:b/>
                <w:color w:val="30A46C"/>
                <w:sz w:val="22"/>
              </w:rPr>
              <w:t>+15.9%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$10.96B</w:t>
            </w:r>
          </w:p>
        </w:tc>
        <w:tc>
          <w:tcPr>
            <w:tcW w:type="dxa" w:w="1440"/>
          </w:tcPr>
          <w:p>
            <w:r>
              <w:rPr>
                <w:rFonts w:ascii="Calibri" w:hAnsi="Calibri"/>
                <w:sz w:val="22"/>
              </w:rPr>
              <w:t>$10.29B</w:t>
            </w:r>
          </w:p>
        </w:tc>
        <w:tc>
          <w:tcPr>
            <w:tcW w:type="dxa" w:w="1440"/>
          </w:tcPr>
          <w:p>
            <w:r>
              <w:rPr>
                <w:rFonts w:ascii="Calibri" w:hAnsi="Calibri"/>
                <w:b/>
                <w:color w:val="30A46C"/>
                <w:sz w:val="22"/>
              </w:rPr>
              <w:t>+6.5%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$1.159B</w:t>
            </w:r>
          </w:p>
        </w:tc>
        <w:tc>
          <w:tcPr>
            <w:tcW w:type="dxa" w:w="1440"/>
          </w:tcPr>
          <w:p>
            <w:r>
              <w:rPr>
                <w:rFonts w:ascii="Calibri" w:hAnsi="Calibri"/>
                <w:sz w:val="22"/>
              </w:rPr>
              <w:t>$1.274B</w:t>
            </w:r>
          </w:p>
        </w:tc>
        <w:tc>
          <w:tcPr>
            <w:tcW w:type="dxa" w:w="1440"/>
          </w:tcPr>
          <w:p>
            <w:r>
              <w:rPr>
                <w:rFonts w:ascii="Calibri" w:hAnsi="Calibri"/>
                <w:b/>
                <w:color w:val="E5484D"/>
                <w:sz w:val="22"/>
              </w:rPr>
              <w:t>-9.0%</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$9.97B</w:t>
            </w:r>
          </w:p>
        </w:tc>
        <w:tc>
          <w:tcPr>
            <w:tcW w:type="dxa" w:w="1440"/>
          </w:tcPr>
          <w:p>
            <w:r>
              <w:rPr>
                <w:rFonts w:ascii="Calibri" w:hAnsi="Calibri"/>
                <w:sz w:val="22"/>
              </w:rPr>
              <w:t>$9.15B</w:t>
            </w:r>
          </w:p>
        </w:tc>
        <w:tc>
          <w:tcPr>
            <w:tcW w:type="dxa" w:w="1440"/>
          </w:tcPr>
          <w:p>
            <w:r>
              <w:rPr>
                <w:rFonts w:ascii="Calibri" w:hAnsi="Calibri"/>
                <w:b/>
                <w:color w:val="30A46C"/>
                <w:sz w:val="22"/>
              </w:rPr>
              <w:t>+8.9%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$0.812B</w:t>
            </w:r>
          </w:p>
        </w:tc>
        <w:tc>
          <w:tcPr>
            <w:tcW w:type="dxa" w:w="1440"/>
          </w:tcPr>
          <w:p>
            <w:r>
              <w:rPr>
                <w:rFonts w:ascii="Calibri" w:hAnsi="Calibri"/>
                <w:sz w:val="22"/>
              </w:rPr>
              <w:t>$0.795B</w:t>
            </w:r>
          </w:p>
        </w:tc>
        <w:tc>
          <w:tcPr>
            <w:tcW w:type="dxa" w:w="1440"/>
          </w:tcPr>
          <w:p>
            <w:r>
              <w:rPr>
                <w:rFonts w:ascii="Calibri" w:hAnsi="Calibri"/>
                <w:b/>
                <w:color w:val="30A46C"/>
                <w:sz w:val="22"/>
              </w:rPr>
              <w:t>+2.1%</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$9.11B</w:t>
            </w:r>
          </w:p>
        </w:tc>
        <w:tc>
          <w:tcPr>
            <w:tcW w:type="dxa" w:w="1440"/>
          </w:tcPr>
          <w:p>
            <w:r>
              <w:rPr>
                <w:rFonts w:ascii="Calibri" w:hAnsi="Calibri"/>
                <w:sz w:val="22"/>
              </w:rPr>
              <w:t>$8.81B</w:t>
            </w:r>
          </w:p>
        </w:tc>
        <w:tc>
          <w:tcPr>
            <w:tcW w:type="dxa" w:w="1440"/>
          </w:tcPr>
          <w:p>
            <w:r>
              <w:rPr>
                <w:rFonts w:ascii="Calibri" w:hAnsi="Calibri"/>
                <w:b/>
                <w:color w:val="30A46C"/>
                <w:sz w:val="22"/>
              </w:rPr>
              <w:t>+3.4%</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$0.770B</w:t>
            </w:r>
          </w:p>
        </w:tc>
        <w:tc>
          <w:tcPr>
            <w:tcW w:type="dxa" w:w="1440"/>
          </w:tcPr>
          <w:p>
            <w:r>
              <w:rPr>
                <w:rFonts w:ascii="Calibri" w:hAnsi="Calibri"/>
                <w:sz w:val="22"/>
              </w:rPr>
              <w:t>$0.725B</w:t>
            </w:r>
          </w:p>
        </w:tc>
        <w:tc>
          <w:tcPr>
            <w:tcW w:type="dxa" w:w="1440"/>
          </w:tcPr>
          <w:p>
            <w:r>
              <w:rPr>
                <w:rFonts w:ascii="Calibri" w:hAnsi="Calibri"/>
                <w:b/>
                <w:color w:val="30A46C"/>
                <w:sz w:val="22"/>
              </w:rPr>
              <w:t>+6.2%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$8.03B</w:t>
            </w:r>
          </w:p>
        </w:tc>
        <w:tc>
          <w:tcPr>
            <w:tcW w:type="dxa" w:w="1440"/>
          </w:tcPr>
          <w:p>
            <w:r>
              <w:rPr>
                <w:rFonts w:ascii="Calibri" w:hAnsi="Calibri"/>
                <w:sz w:val="22"/>
              </w:rPr>
              <w:t>$7.55B</w:t>
            </w:r>
          </w:p>
        </w:tc>
        <w:tc>
          <w:tcPr>
            <w:tcW w:type="dxa" w:w="1440"/>
          </w:tcPr>
          <w:p>
            <w:r>
              <w:rPr>
                <w:rFonts w:ascii="Calibri" w:hAnsi="Calibri"/>
                <w:b/>
                <w:color w:val="30A46C"/>
                <w:sz w:val="22"/>
              </w:rPr>
              <w:t>+6.4%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$0.457B</w:t>
            </w:r>
          </w:p>
        </w:tc>
        <w:tc>
          <w:tcPr>
            <w:tcW w:type="dxa" w:w="1440"/>
          </w:tcPr>
          <w:p>
            <w:r>
              <w:rPr>
                <w:rFonts w:ascii="Calibri" w:hAnsi="Calibri"/>
                <w:sz w:val="22"/>
              </w:rPr>
              <w:t>$0.348B</w:t>
            </w:r>
          </w:p>
        </w:tc>
        <w:tc>
          <w:tcPr>
            <w:tcW w:type="dxa" w:w="1440"/>
          </w:tcPr>
          <w:p>
            <w:r>
              <w:rPr>
                <w:rFonts w:ascii="Calibri" w:hAnsi="Calibri"/>
                <w:b/>
                <w:color w:val="30A46C"/>
                <w:sz w:val="22"/>
              </w:rPr>
              <w:t>+31.4%</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$10.56B</w:t>
            </w:r>
          </w:p>
        </w:tc>
        <w:tc>
          <w:tcPr>
            <w:tcW w:type="dxa" w:w="1440"/>
          </w:tcPr>
          <w:p>
            <w:r>
              <w:rPr>
                <w:rFonts w:ascii="Calibri" w:hAnsi="Calibri"/>
                <w:sz w:val="22"/>
              </w:rPr>
              <w:t>$10.75B</w:t>
            </w:r>
          </w:p>
        </w:tc>
        <w:tc>
          <w:tcPr>
            <w:tcW w:type="dxa" w:w="1440"/>
          </w:tcPr>
          <w:p>
            <w:r>
              <w:rPr>
                <w:rFonts w:ascii="Calibri" w:hAnsi="Calibri"/>
                <w:b/>
                <w:color w:val="E5484D"/>
                <w:sz w:val="22"/>
              </w:rPr>
              <w:t>-1.8%</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$1.079B</w:t>
            </w:r>
          </w:p>
        </w:tc>
        <w:tc>
          <w:tcPr>
            <w:tcW w:type="dxa" w:w="1440"/>
          </w:tcPr>
          <w:p>
            <w:r>
              <w:rPr>
                <w:rFonts w:ascii="Calibri" w:hAnsi="Calibri"/>
                <w:sz w:val="22"/>
              </w:rPr>
              <w:t>$1.079B</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$8.91B</w:t>
            </w:r>
          </w:p>
        </w:tc>
        <w:tc>
          <w:tcPr>
            <w:tcW w:type="dxa" w:w="1440"/>
          </w:tcPr>
          <w:p>
            <w:r>
              <w:rPr>
                <w:rFonts w:ascii="Calibri" w:hAnsi="Calibri"/>
                <w:sz w:val="22"/>
              </w:rPr>
              <w:t>$8.92B</w:t>
            </w:r>
          </w:p>
        </w:tc>
        <w:tc>
          <w:tcPr>
            <w:tcW w:type="dxa" w:w="1440"/>
          </w:tcPr>
          <w:p>
            <w:r>
              <w:rPr>
                <w:rFonts w:ascii="Calibri" w:hAnsi="Calibri"/>
                <w:sz w:val="22"/>
              </w:rPr>
              <w:t>-0.1%</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$0.243B</w:t>
            </w:r>
          </w:p>
        </w:tc>
        <w:tc>
          <w:tcPr>
            <w:tcW w:type="dxa" w:w="1440"/>
          </w:tcPr>
          <w:p>
            <w:r>
              <w:rPr>
                <w:rFonts w:ascii="Calibri" w:hAnsi="Calibri"/>
                <w:sz w:val="22"/>
              </w:rPr>
              <w:t>$0.320B</w:t>
            </w:r>
          </w:p>
        </w:tc>
        <w:tc>
          <w:tcPr>
            <w:tcW w:type="dxa" w:w="1440"/>
          </w:tcPr>
          <w:p>
            <w:r>
              <w:rPr>
                <w:rFonts w:ascii="Calibri" w:hAnsi="Calibri"/>
                <w:b/>
                <w:color w:val="E5484D"/>
                <w:sz w:val="22"/>
              </w:rPr>
              <w:t>-24.1%</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$8.20B</w:t>
            </w:r>
          </w:p>
        </w:tc>
        <w:tc>
          <w:tcPr>
            <w:tcW w:type="dxa" w:w="1440"/>
          </w:tcPr>
          <w:p>
            <w:r>
              <w:rPr>
                <w:rFonts w:ascii="Calibri" w:hAnsi="Calibri"/>
                <w:sz w:val="22"/>
              </w:rPr>
              <w:t>$8.24B</w:t>
            </w:r>
          </w:p>
        </w:tc>
        <w:tc>
          <w:tcPr>
            <w:tcW w:type="dxa" w:w="1440"/>
          </w:tcPr>
          <w:p>
            <w:r>
              <w:rPr>
                <w:rFonts w:ascii="Calibri" w:hAnsi="Calibri"/>
                <w:sz w:val="22"/>
              </w:rPr>
              <w:t>-0.4%</w:t>
            </w:r>
          </w:p>
        </w:tc>
        <w:tc>
          <w:tcPr>
            <w:tcW w:type="dxa" w:w="1440"/>
          </w:tcPr>
          <w:p>
            <w:r>
              <w:rPr>
                <w:rFonts w:ascii="Calibri" w:hAnsi="Calibri"/>
                <w:sz w:val="22"/>
              </w:rPr>
              <w:t>In Line</w:t>
            </w:r>
          </w:p>
        </w:tc>
      </w:tr>
      <w:tr>
        <w:tc>
          <w:tcPr>
            <w:tcW w:type="dxa" w:w="1440"/>
          </w:tcPr>
          <w:p>
            <w:r>
              <w:rPr>
                <w:rFonts w:ascii="Calibri" w:hAnsi="Calibri"/>
                <w:sz w:val="22"/>
              </w:rPr>
              <w:t>Q2 2024</w:t>
            </w:r>
          </w:p>
        </w:tc>
        <w:tc>
          <w:tcPr>
            <w:tcW w:type="dxa" w:w="1440"/>
          </w:tcPr>
          <w:p>
            <w:r>
              <w:rPr>
                <w:rFonts w:ascii="Calibri" w:hAnsi="Calibri"/>
                <w:sz w:val="22"/>
              </w:rPr>
              <w:t>Adj. EBITDA</w:t>
            </w:r>
          </w:p>
        </w:tc>
        <w:tc>
          <w:tcPr>
            <w:tcW w:type="dxa" w:w="1440"/>
          </w:tcPr>
          <w:p>
            <w:r>
              <w:rPr>
                <w:rFonts w:ascii="Calibri" w:hAnsi="Calibri"/>
                <w:sz w:val="22"/>
              </w:rPr>
              <w:t>$0.524B</w:t>
            </w:r>
          </w:p>
        </w:tc>
        <w:tc>
          <w:tcPr>
            <w:tcW w:type="dxa" w:w="1440"/>
          </w:tcPr>
          <w:p>
            <w:r>
              <w:rPr>
                <w:rFonts w:ascii="Calibri" w:hAnsi="Calibri"/>
                <w:sz w:val="22"/>
              </w:rPr>
              <w:t>$0.427B</w:t>
            </w:r>
          </w:p>
        </w:tc>
        <w:tc>
          <w:tcPr>
            <w:tcW w:type="dxa" w:w="1440"/>
          </w:tcPr>
          <w:p>
            <w:r>
              <w:rPr>
                <w:rFonts w:ascii="Calibri" w:hAnsi="Calibri"/>
                <w:b/>
                <w:color w:val="30A46C"/>
                <w:sz w:val="22"/>
              </w:rPr>
              <w:t>+22.8%</w:t>
            </w:r>
          </w:p>
        </w:tc>
        <w:tc>
          <w:tcPr>
            <w:tcW w:type="dxa" w:w="1440"/>
          </w:tcPr>
          <w:p>
            <w:r>
              <w:rPr>
                <w:rFonts w:ascii="Calibri" w:hAnsi="Calibri"/>
                <w:b/>
                <w:color w:val="30A46C"/>
                <w:sz w:val="22"/>
              </w:rPr>
              <w:t>Beat</w:t>
            </w:r>
          </w:p>
        </w:tc>
      </w:tr>
    </w:tbl>
    <w:p>
      <w:r>
        <w:rPr>
          <w:rFonts w:ascii="Calibri" w:hAnsi="Calibri"/>
          <w:i/>
          <w:color w:val="525866"/>
          <w:sz w:val="22"/>
        </w:rPr>
        <w:t>Source: Visible Alpha Consensus and Actuals Data. Pattern: GEV has beaten revenue consensus in 6 of the last 8 quarters, with the misses concentrated in Q3–4 2024 when the business was earlier in its margin ramp; EBITDA beats have been more variable, with the Q4 2025 miss driven by offshore wind charges, but the trend since Q1 2025 has been consistent outperformance as Power and Electrification margins accelerate.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guidance across all three key metrics (revenue, EBITDA margin, FCF) at the Q1 2026 print and has not issued any subsequent formal revisions — the tone remains highly confident, with April order momentum described as exceeding all of Q1 in value, and the $200B backlog target pulled forward by a full year.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Revenue</w:t>
            </w:r>
          </w:p>
        </w:tc>
        <w:tc>
          <w:tcPr>
            <w:tcW w:type="dxa" w:w="1728"/>
          </w:tcPr>
          <w:p>
            <w:r>
              <w:rPr>
                <w:rFonts w:ascii="Calibri" w:hAnsi="Calibri"/>
                <w:sz w:val="22"/>
              </w:rPr>
              <w:t>$44.5B–$45.5B</w:t>
            </w:r>
          </w:p>
        </w:tc>
        <w:tc>
          <w:tcPr>
            <w:tcW w:type="dxa" w:w="1728"/>
          </w:tcPr>
          <w:p>
            <w:r>
              <w:rPr>
                <w:rFonts w:ascii="Calibri" w:hAnsi="Calibri"/>
                <w:sz w:val="22"/>
              </w:rPr>
              <w:t>—</w:t>
            </w:r>
          </w:p>
        </w:tc>
        <w:tc>
          <w:tcPr>
            <w:tcW w:type="dxa" w:w="1728"/>
          </w:tcPr>
          <w:p>
            <w:r>
              <w:rPr>
                <w:rFonts w:ascii="Calibri" w:hAnsi="Calibri"/>
                <w:sz w:val="22"/>
              </w:rPr>
              <w:t>$45.5B</w:t>
            </w:r>
          </w:p>
        </w:tc>
        <w:tc>
          <w:tcPr>
            <w:tcW w:type="dxa" w:w="1728"/>
          </w:tcPr>
          <w:p>
            <w:r>
              <w:rPr>
                <w:rFonts w:ascii="Calibri" w:hAnsi="Calibri"/>
                <w:sz w:val="22"/>
              </w:rPr>
              <w:t>Raised from $44–45B at Q4 2025 earnings; consensus at top of range, reflecting strong Electrification momentum</w:t>
            </w:r>
          </w:p>
        </w:tc>
      </w:tr>
      <w:tr>
        <w:tc>
          <w:tcPr>
            <w:tcW w:type="dxa" w:w="1728"/>
          </w:tcPr>
          <w:p>
            <w:r>
              <w:rPr>
                <w:rFonts w:ascii="Calibri" w:hAnsi="Calibri"/>
                <w:sz w:val="22"/>
              </w:rPr>
              <w:t>FY2026 Adj. EBITDA Margin</w:t>
            </w:r>
          </w:p>
        </w:tc>
        <w:tc>
          <w:tcPr>
            <w:tcW w:type="dxa" w:w="1728"/>
          </w:tcPr>
          <w:p>
            <w:r>
              <w:rPr>
                <w:rFonts w:ascii="Calibri" w:hAnsi="Calibri"/>
                <w:sz w:val="22"/>
              </w:rPr>
              <w:t>12%–14%</w:t>
            </w:r>
          </w:p>
        </w:tc>
        <w:tc>
          <w:tcPr>
            <w:tcW w:type="dxa" w:w="1728"/>
          </w:tcPr>
          <w:p>
            <w:r>
              <w:rPr>
                <w:rFonts w:ascii="Calibri" w:hAnsi="Calibri"/>
                <w:sz w:val="22"/>
              </w:rPr>
              <w:t>—</w:t>
            </w:r>
          </w:p>
        </w:tc>
        <w:tc>
          <w:tcPr>
            <w:tcW w:type="dxa" w:w="1728"/>
          </w:tcPr>
          <w:p>
            <w:r>
              <w:rPr>
                <w:rFonts w:ascii="Calibri" w:hAnsi="Calibri"/>
                <w:sz w:val="22"/>
              </w:rPr>
              <w:t>13.7%</w:t>
            </w:r>
          </w:p>
        </w:tc>
        <w:tc>
          <w:tcPr>
            <w:tcW w:type="dxa" w:w="1728"/>
          </w:tcPr>
          <w:p>
            <w:r>
              <w:rPr>
                <w:rFonts w:ascii="Calibri" w:hAnsi="Calibri"/>
                <w:sz w:val="22"/>
              </w:rPr>
              <w:t>Raised 1 pt at both ends from 11%–13%; consensus near midpoint; Power and Electrification driving upside</w:t>
            </w:r>
          </w:p>
        </w:tc>
      </w:tr>
      <w:tr>
        <w:tc>
          <w:tcPr>
            <w:tcW w:type="dxa" w:w="1728"/>
          </w:tcPr>
          <w:p>
            <w:r>
              <w:rPr>
                <w:rFonts w:ascii="Calibri" w:hAnsi="Calibri"/>
                <w:sz w:val="22"/>
              </w:rPr>
              <w:t>FY2026 Free Cash Flow</w:t>
            </w:r>
          </w:p>
        </w:tc>
        <w:tc>
          <w:tcPr>
            <w:tcW w:type="dxa" w:w="1728"/>
          </w:tcPr>
          <w:p>
            <w:r>
              <w:rPr>
                <w:rFonts w:ascii="Calibri" w:hAnsi="Calibri"/>
                <w:sz w:val="22"/>
              </w:rPr>
              <w:t>$6.5B–$7.5B</w:t>
            </w:r>
          </w:p>
        </w:tc>
        <w:tc>
          <w:tcPr>
            <w:tcW w:type="dxa" w:w="1728"/>
          </w:tcPr>
          <w:p>
            <w:r>
              <w:rPr>
                <w:rFonts w:ascii="Calibri" w:hAnsi="Calibri"/>
                <w:sz w:val="22"/>
              </w:rPr>
              <w:t>—</w:t>
            </w:r>
          </w:p>
        </w:tc>
        <w:tc>
          <w:tcPr>
            <w:tcW w:type="dxa" w:w="1728"/>
          </w:tcPr>
          <w:p>
            <w:r>
              <w:rPr>
                <w:rFonts w:ascii="Calibri" w:hAnsi="Calibri"/>
                <w:sz w:val="22"/>
              </w:rPr>
              <w:t>$6.91B</w:t>
            </w:r>
          </w:p>
        </w:tc>
        <w:tc>
          <w:tcPr>
            <w:tcW w:type="dxa" w:w="1728"/>
          </w:tcPr>
          <w:p>
            <w:r>
              <w:rPr>
                <w:rFonts w:ascii="Calibri" w:hAnsi="Calibri"/>
                <w:sz w:val="22"/>
              </w:rPr>
              <w:t>Dramatically raised from $5.0–5.5B; Q1 alone delivered $4.8B; consensus below midpoint, suggesting upside risk</w:t>
            </w:r>
          </w:p>
        </w:tc>
      </w:tr>
      <w:tr>
        <w:tc>
          <w:tcPr>
            <w:tcW w:type="dxa" w:w="1728"/>
          </w:tcPr>
          <w:p>
            <w:r>
              <w:rPr>
                <w:rFonts w:ascii="Calibri" w:hAnsi="Calibri"/>
                <w:sz w:val="22"/>
              </w:rPr>
              <w:t>Power Organic Revenue Growth (FY2026)</w:t>
            </w:r>
          </w:p>
        </w:tc>
        <w:tc>
          <w:tcPr>
            <w:tcW w:type="dxa" w:w="1728"/>
          </w:tcPr>
          <w:p>
            <w:r>
              <w:rPr>
                <w:rFonts w:ascii="Calibri" w:hAnsi="Calibri"/>
                <w:sz w:val="22"/>
              </w:rPr>
              <w:t>+16% to +18%</w:t>
            </w:r>
          </w:p>
        </w:tc>
        <w:tc>
          <w:tcPr>
            <w:tcW w:type="dxa" w:w="1728"/>
          </w:tcPr>
          <w:p>
            <w:r>
              <w:rPr>
                <w:rFonts w:ascii="Calibri" w:hAnsi="Calibri"/>
                <w:sz w:val="22"/>
              </w:rPr>
              <w:t>—</w:t>
            </w:r>
          </w:p>
        </w:tc>
        <w:tc>
          <w:tcPr>
            <w:tcW w:type="dxa" w:w="1728"/>
          </w:tcPr>
          <w:p>
            <w:r>
              <w:rPr>
                <w:rFonts w:ascii="Calibri" w:hAnsi="Calibri"/>
                <w:sz w:val="22"/>
              </w:rPr>
              <w:t>~+17% (implied)</w:t>
            </w:r>
          </w:p>
        </w:tc>
        <w:tc>
          <w:tcPr>
            <w:tcW w:type="dxa" w:w="1728"/>
          </w:tcPr>
          <w:p>
            <w:r>
              <w:rPr>
                <w:rFonts w:ascii="Calibri" w:hAnsi="Calibri"/>
                <w:sz w:val="22"/>
              </w:rPr>
              <w:t>Unchanged; Gas Power driving; 20 GW annualized capacity by mid-2026; higher H2 weighting</w:t>
            </w:r>
          </w:p>
        </w:tc>
      </w:tr>
      <w:tr>
        <w:tc>
          <w:tcPr>
            <w:tcW w:type="dxa" w:w="1728"/>
          </w:tcPr>
          <w:p>
            <w:r>
              <w:rPr>
                <w:rFonts w:ascii="Calibri" w:hAnsi="Calibri"/>
                <w:sz w:val="22"/>
              </w:rPr>
              <w:t>Power EBITDA Margin (FY2026)</w:t>
            </w:r>
          </w:p>
        </w:tc>
        <w:tc>
          <w:tcPr>
            <w:tcW w:type="dxa" w:w="1728"/>
          </w:tcPr>
          <w:p>
            <w:r>
              <w:rPr>
                <w:rFonts w:ascii="Calibri" w:hAnsi="Calibri"/>
                <w:sz w:val="22"/>
              </w:rPr>
              <w:t>17%–19%</w:t>
            </w:r>
          </w:p>
        </w:tc>
        <w:tc>
          <w:tcPr>
            <w:tcW w:type="dxa" w:w="1728"/>
          </w:tcPr>
          <w:p>
            <w:r>
              <w:rPr>
                <w:rFonts w:ascii="Calibri" w:hAnsi="Calibri"/>
                <w:sz w:val="22"/>
              </w:rPr>
              <w:t>—</w:t>
            </w:r>
          </w:p>
        </w:tc>
        <w:tc>
          <w:tcPr>
            <w:tcW w:type="dxa" w:w="1728"/>
          </w:tcPr>
          <w:p>
            <w:r>
              <w:rPr>
                <w:rFonts w:ascii="Calibri" w:hAnsi="Calibri"/>
                <w:sz w:val="22"/>
              </w:rPr>
              <w:t>~18% (implied)</w:t>
            </w:r>
          </w:p>
        </w:tc>
        <w:tc>
          <w:tcPr>
            <w:tcW w:type="dxa" w:w="1728"/>
          </w:tcPr>
          <w:p>
            <w:r>
              <w:rPr>
                <w:rFonts w:ascii="Calibri" w:hAnsi="Calibri"/>
                <w:sz w:val="22"/>
              </w:rPr>
              <w:t>Raised from 16%–18%; productivity gains and pricing strength driving upside</w:t>
            </w:r>
          </w:p>
        </w:tc>
      </w:tr>
      <w:tr>
        <w:tc>
          <w:tcPr>
            <w:tcW w:type="dxa" w:w="1728"/>
          </w:tcPr>
          <w:p>
            <w:r>
              <w:rPr>
                <w:rFonts w:ascii="Calibri" w:hAnsi="Calibri"/>
                <w:sz w:val="22"/>
              </w:rPr>
              <w:t>Electrification Revenue (FY2026)</w:t>
            </w:r>
          </w:p>
        </w:tc>
        <w:tc>
          <w:tcPr>
            <w:tcW w:type="dxa" w:w="1728"/>
          </w:tcPr>
          <w:p>
            <w:r>
              <w:rPr>
                <w:rFonts w:ascii="Calibri" w:hAnsi="Calibri"/>
                <w:sz w:val="22"/>
              </w:rPr>
              <w:t>$14.0B–$14.5B</w:t>
            </w:r>
          </w:p>
        </w:tc>
        <w:tc>
          <w:tcPr>
            <w:tcW w:type="dxa" w:w="1728"/>
          </w:tcPr>
          <w:p>
            <w:r>
              <w:rPr>
                <w:rFonts w:ascii="Calibri" w:hAnsi="Calibri"/>
                <w:sz w:val="22"/>
              </w:rPr>
              <w:t>—</w:t>
            </w:r>
          </w:p>
        </w:tc>
        <w:tc>
          <w:tcPr>
            <w:tcW w:type="dxa" w:w="1728"/>
          </w:tcPr>
          <w:p>
            <w:r>
              <w:rPr>
                <w:rFonts w:ascii="Calibri" w:hAnsi="Calibri"/>
                <w:sz w:val="22"/>
              </w:rPr>
              <w:t>$14.4B</w:t>
            </w:r>
          </w:p>
        </w:tc>
        <w:tc>
          <w:tcPr>
            <w:tcW w:type="dxa" w:w="1728"/>
          </w:tcPr>
          <w:p>
            <w:r>
              <w:rPr>
                <w:rFonts w:ascii="Calibri" w:hAnsi="Calibri"/>
                <w:sz w:val="22"/>
              </w:rPr>
              <w:t>Raised from $13.5–14.0B; Prolec ~$3B contribution; data center orders in Q1 alone exceeded all of 2025</w:t>
            </w:r>
          </w:p>
        </w:tc>
      </w:tr>
      <w:tr>
        <w:tc>
          <w:tcPr>
            <w:tcW w:type="dxa" w:w="1728"/>
          </w:tcPr>
          <w:p>
            <w:r>
              <w:rPr>
                <w:rFonts w:ascii="Calibri" w:hAnsi="Calibri"/>
                <w:sz w:val="22"/>
              </w:rPr>
              <w:t>Electrification EBITDA Margin (FY2026)</w:t>
            </w:r>
          </w:p>
        </w:tc>
        <w:tc>
          <w:tcPr>
            <w:tcW w:type="dxa" w:w="1728"/>
          </w:tcPr>
          <w:p>
            <w:r>
              <w:rPr>
                <w:rFonts w:ascii="Calibri" w:hAnsi="Calibri"/>
                <w:sz w:val="22"/>
              </w:rPr>
              <w:t>18%–20%</w:t>
            </w:r>
          </w:p>
        </w:tc>
        <w:tc>
          <w:tcPr>
            <w:tcW w:type="dxa" w:w="1728"/>
          </w:tcPr>
          <w:p>
            <w:r>
              <w:rPr>
                <w:rFonts w:ascii="Calibri" w:hAnsi="Calibri"/>
                <w:sz w:val="22"/>
              </w:rPr>
              <w:t>—</w:t>
            </w:r>
          </w:p>
        </w:tc>
        <w:tc>
          <w:tcPr>
            <w:tcW w:type="dxa" w:w="1728"/>
          </w:tcPr>
          <w:p>
            <w:r>
              <w:rPr>
                <w:rFonts w:ascii="Calibri" w:hAnsi="Calibri"/>
                <w:sz w:val="22"/>
              </w:rPr>
              <w:t>~19% (implied)</w:t>
            </w:r>
          </w:p>
        </w:tc>
        <w:tc>
          <w:tcPr>
            <w:tcW w:type="dxa" w:w="1728"/>
          </w:tcPr>
          <w:p>
            <w:r>
              <w:rPr>
                <w:rFonts w:ascii="Calibri" w:hAnsi="Calibri"/>
                <w:sz w:val="22"/>
              </w:rPr>
              <w:t>Raised from 17%–19%; higher volume and favorable pricing; expected to increase sequentially through year</w:t>
            </w:r>
          </w:p>
        </w:tc>
      </w:tr>
      <w:tr>
        <w:tc>
          <w:tcPr>
            <w:tcW w:type="dxa" w:w="1728"/>
          </w:tcPr>
          <w:p>
            <w:r>
              <w:rPr>
                <w:rFonts w:ascii="Calibri" w:hAnsi="Calibri"/>
                <w:sz w:val="22"/>
              </w:rPr>
              <w:t>Wind Organic Revenue (FY2026)</w:t>
            </w:r>
          </w:p>
        </w:tc>
        <w:tc>
          <w:tcPr>
            <w:tcW w:type="dxa" w:w="1728"/>
          </w:tcPr>
          <w:p>
            <w:r>
              <w:rPr>
                <w:rFonts w:ascii="Calibri" w:hAnsi="Calibri"/>
                <w:sz w:val="22"/>
              </w:rPr>
              <w:t>Down low double digits</w:t>
            </w:r>
          </w:p>
        </w:tc>
        <w:tc>
          <w:tcPr>
            <w:tcW w:type="dxa" w:w="1728"/>
          </w:tcPr>
          <w:p>
            <w:r>
              <w:rPr>
                <w:rFonts w:ascii="Calibri" w:hAnsi="Calibri"/>
                <w:sz w:val="22"/>
              </w:rPr>
              <w:t>—</w:t>
            </w:r>
          </w:p>
        </w:tc>
        <w:tc>
          <w:tcPr>
            <w:tcW w:type="dxa" w:w="1728"/>
          </w:tcPr>
          <w:p>
            <w:r>
              <w:rPr>
                <w:rFonts w:ascii="Calibri" w:hAnsi="Calibri"/>
                <w:sz w:val="22"/>
              </w:rPr>
              <w:t>~-12% (implied)</w:t>
            </w:r>
          </w:p>
        </w:tc>
        <w:tc>
          <w:tcPr>
            <w:tcW w:type="dxa" w:w="1728"/>
          </w:tcPr>
          <w:p>
            <w:r>
              <w:rPr>
                <w:rFonts w:ascii="Calibri" w:hAnsi="Calibri"/>
                <w:sz w:val="22"/>
              </w:rPr>
              <w:t>Unchanged; onshore equipment soft; offshore losses wrapping through 2027; H2 improvement expected</w:t>
            </w:r>
          </w:p>
        </w:tc>
      </w:tr>
      <w:tr>
        <w:tc>
          <w:tcPr>
            <w:tcW w:type="dxa" w:w="1728"/>
          </w:tcPr>
          <w:p>
            <w:r>
              <w:rPr>
                <w:rFonts w:ascii="Calibri" w:hAnsi="Calibri"/>
                <w:sz w:val="22"/>
              </w:rPr>
              <w:t>Wind EBITDA Loss (FY2026)</w:t>
            </w:r>
          </w:p>
        </w:tc>
        <w:tc>
          <w:tcPr>
            <w:tcW w:type="dxa" w:w="1728"/>
          </w:tcPr>
          <w:p>
            <w:r>
              <w:rPr>
                <w:rFonts w:ascii="Calibri" w:hAnsi="Calibri"/>
                <w:sz w:val="22"/>
              </w:rPr>
              <w:t>~$(400)M EBIT loss</w:t>
            </w:r>
          </w:p>
        </w:tc>
        <w:tc>
          <w:tcPr>
            <w:tcW w:type="dxa" w:w="1728"/>
          </w:tcPr>
          <w:p>
            <w:r>
              <w:rPr>
                <w:rFonts w:ascii="Calibri" w:hAnsi="Calibri"/>
                <w:sz w:val="22"/>
              </w:rPr>
              <w:t>—</w:t>
            </w:r>
          </w:p>
        </w:tc>
        <w:tc>
          <w:tcPr>
            <w:tcW w:type="dxa" w:w="1728"/>
          </w:tcPr>
          <w:p>
            <w:r>
              <w:rPr>
                <w:rFonts w:ascii="Calibri" w:hAnsi="Calibri"/>
                <w:sz w:val="22"/>
              </w:rPr>
              <w:t>~$(400)M (in line)</w:t>
            </w:r>
          </w:p>
        </w:tc>
        <w:tc>
          <w:tcPr>
            <w:tcW w:type="dxa" w:w="1728"/>
          </w:tcPr>
          <w:p>
            <w:r>
              <w:rPr>
                <w:rFonts w:ascii="Calibri" w:hAnsi="Calibri"/>
                <w:sz w:val="22"/>
              </w:rPr>
              <w:t>Unchanged; H1 losses partially offset by H2 profitability; tariff headwinds on pre-tariff onshore orders</w:t>
            </w:r>
          </w:p>
        </w:tc>
      </w:tr>
      <w:tr>
        <w:tc>
          <w:tcPr>
            <w:tcW w:type="dxa" w:w="1728"/>
          </w:tcPr>
          <w:p>
            <w:r>
              <w:rPr>
                <w:rFonts w:ascii="Calibri" w:hAnsi="Calibri"/>
                <w:sz w:val="22"/>
              </w:rPr>
              <w:t>Gas Power GW Under Contract (YE 2026)</w:t>
            </w:r>
          </w:p>
        </w:tc>
        <w:tc>
          <w:tcPr>
            <w:tcW w:type="dxa" w:w="1728"/>
          </w:tcPr>
          <w:p>
            <w:r>
              <w:rPr>
                <w:rFonts w:ascii="Calibri" w:hAnsi="Calibri"/>
                <w:sz w:val="22"/>
              </w:rPr>
              <w:t>At least 110 GW</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New target set at Q1 print; was 100 GW at Q1 end; April orders already exceeded all of Q1 in value</w:t>
            </w:r>
          </w:p>
        </w:tc>
      </w:tr>
      <w:tr>
        <w:tc>
          <w:tcPr>
            <w:tcW w:type="dxa" w:w="1728"/>
          </w:tcPr>
          <w:p>
            <w:r>
              <w:rPr>
                <w:rFonts w:ascii="Calibri" w:hAnsi="Calibri"/>
                <w:sz w:val="22"/>
              </w:rPr>
              <w:t>Tariff Impact (FY2026)</w:t>
            </w:r>
          </w:p>
        </w:tc>
        <w:tc>
          <w:tcPr>
            <w:tcW w:type="dxa" w:w="1728"/>
          </w:tcPr>
          <w:p>
            <w:r>
              <w:rPr>
                <w:rFonts w:ascii="Calibri" w:hAnsi="Calibri"/>
                <w:sz w:val="22"/>
              </w:rPr>
              <w:t>$250M–$350M headwind</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Consistent with prior guidance despite tariff landscape shifts; Prolec slightly higher impact but within range</w:t>
            </w:r>
          </w:p>
        </w:tc>
      </w:tr>
    </w:tbl>
    <w:p>
      <w:r>
        <w:rPr>
          <w:rFonts w:ascii="Calibri" w:hAnsi="Calibri"/>
          <w:i/>
          <w:color w:val="525866"/>
          <w:sz w:val="22"/>
        </w:rPr>
        <w:t>Source: GEV Q1 2026 Earnings Call transcript (April 22, 2026); Visible Alpha Consensus and Actuals Data. No post-earnings formal guidance revisions have been issued via 8-K or investor conference since April 22,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modestly higher since the Q1 print, broadly tracking the raised guidance — Q2 revenue consensus is up ~$0.5B and FY2026 revenue is at the top of the guided range. </w:t>
      </w:r>
      <w:r>
        <w:rPr>
          <w:rFonts w:ascii="Calibri" w:hAnsi="Calibri"/>
          <w:b/>
          <w:color w:val="525866"/>
          <w:sz w:val="22"/>
        </w:rPr>
        <w:t>FCF is the clearest area of potential upside</w:t>
      </w:r>
      <w:r>
        <w:rPr>
          <w:rFonts w:ascii="Calibri" w:hAnsi="Calibri"/>
          <w:color w:val="525866"/>
          <w:sz w:val="22"/>
        </w:rPr>
        <w:t>, with consensus at $6.91B sitting below the $7.0B midpoint of the $6.5–7.5B guide, and Q1 alone already delivered $4.8B.</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28, 2026)</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$10.75B</w:t>
            </w:r>
          </w:p>
        </w:tc>
        <w:tc>
          <w:tcPr>
            <w:tcW w:type="dxa" w:w="1080"/>
          </w:tcPr>
          <w:p>
            <w:r>
              <w:rPr>
                <w:rFonts w:ascii="Calibri" w:hAnsi="Calibri"/>
                <w:sz w:val="22"/>
              </w:rPr>
              <w:t>$10.80B</w:t>
            </w:r>
          </w:p>
        </w:tc>
        <w:tc>
          <w:tcPr>
            <w:tcW w:type="dxa" w:w="1080"/>
          </w:tcPr>
          <w:p>
            <w:r>
              <w:rPr>
                <w:rFonts w:ascii="Calibri" w:hAnsi="Calibri"/>
                <w:b/>
                <w:color w:val="30A46C"/>
                <w:sz w:val="22"/>
              </w:rPr>
              <w:t>+0.5%</w:t>
            </w:r>
          </w:p>
        </w:tc>
        <w:tc>
          <w:tcPr>
            <w:tcW w:type="dxa" w:w="1080"/>
          </w:tcPr>
          <w:p>
            <w:r>
              <w:rPr>
                <w:rFonts w:ascii="Calibri" w:hAnsi="Calibri"/>
                <w:sz w:val="22"/>
              </w:rPr>
              <w:t>~$10.5–11.0B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 above midpoint</w:t>
            </w:r>
          </w:p>
        </w:tc>
      </w:tr>
      <w:tr>
        <w:tc>
          <w:tcPr>
            <w:tcW w:type="dxa" w:w="1080"/>
          </w:tcPr>
          <w:p>
            <w:r>
              <w:rPr>
                <w:rFonts w:ascii="Calibri" w:hAnsi="Calibri"/>
                <w:sz w:val="22"/>
              </w:rPr>
              <w:t>Revenue — FY2026</w:t>
            </w:r>
          </w:p>
        </w:tc>
        <w:tc>
          <w:tcPr>
            <w:tcW w:type="dxa" w:w="1080"/>
          </w:tcPr>
          <w:p>
            <w:r>
              <w:rPr>
                <w:rFonts w:ascii="Calibri" w:hAnsi="Calibri"/>
                <w:sz w:val="22"/>
              </w:rPr>
              <w:t>$45.54B</w:t>
            </w:r>
          </w:p>
        </w:tc>
        <w:tc>
          <w:tcPr>
            <w:tcW w:type="dxa" w:w="1080"/>
          </w:tcPr>
          <w:p>
            <w:r>
              <w:rPr>
                <w:rFonts w:ascii="Calibri" w:hAnsi="Calibri"/>
                <w:sz w:val="22"/>
              </w:rPr>
              <w:t>$45.49B</w:t>
            </w:r>
          </w:p>
        </w:tc>
        <w:tc>
          <w:tcPr>
            <w:tcW w:type="dxa" w:w="1080"/>
          </w:tcPr>
          <w:p>
            <w:r>
              <w:rPr>
                <w:rFonts w:ascii="Calibri" w:hAnsi="Calibri"/>
                <w:sz w:val="22"/>
              </w:rPr>
              <w:t>-0.1%</w:t>
            </w:r>
          </w:p>
        </w:tc>
        <w:tc>
          <w:tcPr>
            <w:tcW w:type="dxa" w:w="1080"/>
          </w:tcPr>
          <w:p>
            <w:r>
              <w:rPr>
                <w:rFonts w:ascii="Calibri" w:hAnsi="Calibri"/>
                <w:sz w:val="22"/>
              </w:rPr>
              <w:t>$44.5B–$45.5B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(at top of range)</w:t>
            </w:r>
          </w:p>
        </w:tc>
      </w:tr>
      <w:tr>
        <w:tc>
          <w:tcPr>
            <w:tcW w:type="dxa" w:w="1080"/>
          </w:tcPr>
          <w:p>
            <w:r>
              <w:rPr>
                <w:rFonts w:ascii="Calibri" w:hAnsi="Calibri"/>
                <w:sz w:val="22"/>
              </w:rPr>
              <w:t>Revenue — FY2027</w:t>
            </w:r>
          </w:p>
        </w:tc>
        <w:tc>
          <w:tcPr>
            <w:tcW w:type="dxa" w:w="1080"/>
          </w:tcPr>
          <w:p>
            <w:r>
              <w:rPr>
                <w:rFonts w:ascii="Calibri" w:hAnsi="Calibri"/>
                <w:sz w:val="22"/>
              </w:rPr>
              <w:t>$51.88B</w:t>
            </w:r>
          </w:p>
        </w:tc>
        <w:tc>
          <w:tcPr>
            <w:tcW w:type="dxa" w:w="1080"/>
          </w:tcPr>
          <w:p>
            <w:r>
              <w:rPr>
                <w:rFonts w:ascii="Calibri" w:hAnsi="Calibri"/>
                <w:sz w:val="22"/>
              </w:rPr>
              <w:t>$51.85B</w:t>
            </w:r>
          </w:p>
        </w:tc>
        <w:tc>
          <w:tcPr>
            <w:tcW w:type="dxa" w:w="1080"/>
          </w:tcPr>
          <w:p>
            <w:r>
              <w:rPr>
                <w:rFonts w:ascii="Calibri" w:hAnsi="Calibri"/>
                <w:sz w:val="22"/>
              </w:rPr>
              <w:t>-0.1%</w:t>
            </w:r>
          </w:p>
        </w:tc>
        <w:tc>
          <w:tcPr>
            <w:tcW w:type="dxa" w:w="1080"/>
          </w:tcPr>
          <w:p>
            <w:r>
              <w:rPr>
                <w:rFonts w:ascii="Calibri" w:hAnsi="Calibri"/>
                <w:sz w:val="22"/>
              </w:rPr>
              <w:t>At least $56B (2028 target)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(2027 vs. 2028 target)</w:t>
            </w:r>
          </w:p>
        </w:tc>
      </w:tr>
      <w:tr>
        <w:tc>
          <w:tcPr>
            <w:tcW w:type="dxa" w:w="1080"/>
          </w:tcPr>
          <w:p>
            <w:r>
              <w:rPr>
                <w:rFonts w:ascii="Calibri" w:hAnsi="Calibri"/>
                <w:sz w:val="22"/>
              </w:rPr>
              <w:t>Adj. EBITDA — Q2 2026</w:t>
            </w:r>
          </w:p>
        </w:tc>
        <w:tc>
          <w:tcPr>
            <w:tcW w:type="dxa" w:w="1080"/>
          </w:tcPr>
          <w:p>
            <w:r>
              <w:rPr>
                <w:rFonts w:ascii="Calibri" w:hAnsi="Calibri"/>
                <w:sz w:val="22"/>
              </w:rPr>
              <w:t>$1.267B</w:t>
            </w:r>
          </w:p>
        </w:tc>
        <w:tc>
          <w:tcPr>
            <w:tcW w:type="dxa" w:w="1080"/>
          </w:tcPr>
          <w:p>
            <w:r>
              <w:rPr>
                <w:rFonts w:ascii="Calibri" w:hAnsi="Calibri"/>
                <w:sz w:val="22"/>
              </w:rPr>
              <w:t>$1.278B</w:t>
            </w:r>
          </w:p>
        </w:tc>
        <w:tc>
          <w:tcPr>
            <w:tcW w:type="dxa" w:w="1080"/>
          </w:tcPr>
          <w:p>
            <w:r>
              <w:rPr>
                <w:rFonts w:ascii="Calibri" w:hAnsi="Calibri"/>
                <w:b/>
                <w:color w:val="30A46C"/>
                <w:sz w:val="22"/>
              </w:rPr>
              <w:t>+0.9%</w:t>
            </w:r>
          </w:p>
        </w:tc>
        <w:tc>
          <w:tcPr>
            <w:tcW w:type="dxa" w:w="1080"/>
          </w:tcPr>
          <w:p>
            <w:r>
              <w:rPr>
                <w:rFonts w:ascii="Calibri" w:hAnsi="Calibri"/>
                <w:sz w:val="22"/>
              </w:rPr>
              <w:t>Margin expansion YoY; Power 17–18%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EBITDA — FY2026</w:t>
            </w:r>
          </w:p>
        </w:tc>
        <w:tc>
          <w:tcPr>
            <w:tcW w:type="dxa" w:w="1080"/>
          </w:tcPr>
          <w:p>
            <w:r>
              <w:rPr>
                <w:rFonts w:ascii="Calibri" w:hAnsi="Calibri"/>
                <w:sz w:val="22"/>
              </w:rPr>
              <w:t>$6.226B</w:t>
            </w:r>
          </w:p>
        </w:tc>
        <w:tc>
          <w:tcPr>
            <w:tcW w:type="dxa" w:w="1080"/>
          </w:tcPr>
          <w:p>
            <w:r>
              <w:rPr>
                <w:rFonts w:ascii="Calibri" w:hAnsi="Calibri"/>
                <w:sz w:val="22"/>
              </w:rPr>
              <w:t>$6.227B</w:t>
            </w:r>
          </w:p>
        </w:tc>
        <w:tc>
          <w:tcPr>
            <w:tcW w:type="dxa" w:w="1080"/>
          </w:tcPr>
          <w:p>
            <w:r>
              <w:rPr>
                <w:rFonts w:ascii="Calibri" w:hAnsi="Calibri"/>
                <w:sz w:val="22"/>
              </w:rPr>
              <w:t>+0.0%</w:t>
            </w:r>
          </w:p>
        </w:tc>
        <w:tc>
          <w:tcPr>
            <w:tcW w:type="dxa" w:w="1080"/>
          </w:tcPr>
          <w:p>
            <w:r>
              <w:rPr>
                <w:rFonts w:ascii="Calibri" w:hAnsi="Calibri"/>
                <w:sz w:val="22"/>
              </w:rPr>
              <w:t>12%–14% margin ($5.3–6.4B)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 above midpoint</w:t>
            </w:r>
          </w:p>
        </w:tc>
      </w:tr>
      <w:tr>
        <w:tc>
          <w:tcPr>
            <w:tcW w:type="dxa" w:w="1080"/>
          </w:tcPr>
          <w:p>
            <w:r>
              <w:rPr>
                <w:rFonts w:ascii="Calibri" w:hAnsi="Calibri"/>
                <w:sz w:val="22"/>
              </w:rPr>
              <w:t>Adj. EBITDA — FY2027</w:t>
            </w:r>
          </w:p>
        </w:tc>
        <w:tc>
          <w:tcPr>
            <w:tcW w:type="dxa" w:w="1080"/>
          </w:tcPr>
          <w:p>
            <w:r>
              <w:rPr>
                <w:rFonts w:ascii="Calibri" w:hAnsi="Calibri"/>
                <w:sz w:val="22"/>
              </w:rPr>
              <w:t>$9.281B</w:t>
            </w:r>
          </w:p>
        </w:tc>
        <w:tc>
          <w:tcPr>
            <w:tcW w:type="dxa" w:w="1080"/>
          </w:tcPr>
          <w:p>
            <w:r>
              <w:rPr>
                <w:rFonts w:ascii="Calibri" w:hAnsi="Calibri"/>
                <w:sz w:val="22"/>
              </w:rPr>
              <w:t>$9.286B</w:t>
            </w:r>
          </w:p>
        </w:tc>
        <w:tc>
          <w:tcPr>
            <w:tcW w:type="dxa" w:w="1080"/>
          </w:tcPr>
          <w:p>
            <w:r>
              <w:rPr>
                <w:rFonts w:ascii="Calibri" w:hAnsi="Calibri"/>
                <w:sz w:val="22"/>
              </w:rPr>
              <w:t>+0.1%</w:t>
            </w:r>
          </w:p>
        </w:tc>
        <w:tc>
          <w:tcPr>
            <w:tcW w:type="dxa" w:w="1080"/>
          </w:tcPr>
          <w:p>
            <w:r>
              <w:rPr>
                <w:rFonts w:ascii="Calibri" w:hAnsi="Calibri"/>
                <w:sz w:val="22"/>
              </w:rPr>
              <w:t>~22% EBITDA margin by 2028 (Elec. target)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(2027 vs. 2028 target)</w:t>
            </w:r>
          </w:p>
        </w:tc>
      </w:tr>
      <w:tr>
        <w:tc>
          <w:tcPr>
            <w:tcW w:type="dxa" w:w="1080"/>
          </w:tcPr>
          <w:p>
            <w:r>
              <w:rPr>
                <w:rFonts w:ascii="Calibri" w:hAnsi="Calibri"/>
                <w:sz w:val="22"/>
              </w:rPr>
              <w:t>Adj. EPS — Q2 2026</w:t>
            </w:r>
          </w:p>
        </w:tc>
        <w:tc>
          <w:tcPr>
            <w:tcW w:type="dxa" w:w="1080"/>
          </w:tcPr>
          <w:p>
            <w:r>
              <w:rPr>
                <w:rFonts w:ascii="Calibri" w:hAnsi="Calibri"/>
                <w:sz w:val="22"/>
              </w:rPr>
              <w:t>$2.851</w:t>
            </w:r>
          </w:p>
        </w:tc>
        <w:tc>
          <w:tcPr>
            <w:tcW w:type="dxa" w:w="1080"/>
          </w:tcPr>
          <w:p>
            <w:r>
              <w:rPr>
                <w:rFonts w:ascii="Calibri" w:hAnsi="Calibri"/>
                <w:sz w:val="22"/>
              </w:rPr>
              <w:t>$2.878</w:t>
            </w:r>
          </w:p>
        </w:tc>
        <w:tc>
          <w:tcPr>
            <w:tcW w:type="dxa" w:w="1080"/>
          </w:tcPr>
          <w:p>
            <w:r>
              <w:rPr>
                <w:rFonts w:ascii="Calibri" w:hAnsi="Calibri"/>
                <w:b/>
                <w:color w:val="30A46C"/>
                <w:sz w:val="22"/>
              </w:rPr>
              <w:t>+0.9%</w:t>
            </w:r>
          </w:p>
        </w:tc>
        <w:tc>
          <w:tcPr>
            <w:tcW w:type="dxa" w:w="1080"/>
          </w:tcPr>
          <w:p>
            <w:r>
              <w:rPr>
                <w:rFonts w:ascii="Calibri" w:hAnsi="Calibri"/>
                <w:sz w:val="22"/>
              </w:rPr>
              <w:t>No specific EPS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$13.72</w:t>
            </w:r>
          </w:p>
        </w:tc>
        <w:tc>
          <w:tcPr>
            <w:tcW w:type="dxa" w:w="1080"/>
          </w:tcPr>
          <w:p>
            <w:r>
              <w:rPr>
                <w:rFonts w:ascii="Calibri" w:hAnsi="Calibri"/>
                <w:sz w:val="22"/>
              </w:rPr>
              <w:t>$14.61</w:t>
            </w:r>
          </w:p>
        </w:tc>
        <w:tc>
          <w:tcPr>
            <w:tcW w:type="dxa" w:w="1080"/>
          </w:tcPr>
          <w:p>
            <w:r>
              <w:rPr>
                <w:rFonts w:ascii="Calibri" w:hAnsi="Calibri"/>
                <w:b/>
                <w:color w:val="30A46C"/>
                <w:sz w:val="22"/>
              </w:rPr>
              <w:t>+6.5%</w:t>
            </w:r>
          </w:p>
        </w:tc>
        <w:tc>
          <w:tcPr>
            <w:tcW w:type="dxa" w:w="1080"/>
          </w:tcPr>
          <w:p>
            <w:r>
              <w:rPr>
                <w:rFonts w:ascii="Calibri" w:hAnsi="Calibri"/>
                <w:sz w:val="22"/>
              </w:rPr>
              <w:t>No specific EPS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Free Cash Flow — FY2026</w:t>
            </w:r>
          </w:p>
        </w:tc>
        <w:tc>
          <w:tcPr>
            <w:tcW w:type="dxa" w:w="1080"/>
          </w:tcPr>
          <w:p>
            <w:r>
              <w:rPr>
                <w:rFonts w:ascii="Calibri" w:hAnsi="Calibri"/>
                <w:sz w:val="22"/>
              </w:rPr>
              <w:t>$7.138B</w:t>
            </w:r>
          </w:p>
        </w:tc>
        <w:tc>
          <w:tcPr>
            <w:tcW w:type="dxa" w:w="1080"/>
          </w:tcPr>
          <w:p>
            <w:r>
              <w:rPr>
                <w:rFonts w:ascii="Calibri" w:hAnsi="Calibri"/>
                <w:sz w:val="22"/>
              </w:rPr>
              <w:t>$6.914B</w:t>
            </w:r>
          </w:p>
        </w:tc>
        <w:tc>
          <w:tcPr>
            <w:tcW w:type="dxa" w:w="1080"/>
          </w:tcPr>
          <w:p>
            <w:r>
              <w:rPr>
                <w:rFonts w:ascii="Calibri" w:hAnsi="Calibri"/>
                <w:b/>
                <w:color w:val="E5484D"/>
                <w:sz w:val="22"/>
              </w:rPr>
              <w:t>-3.1%</w:t>
            </w:r>
          </w:p>
        </w:tc>
        <w:tc>
          <w:tcPr>
            <w:tcW w:type="dxa" w:w="1080"/>
          </w:tcPr>
          <w:p>
            <w:r>
              <w:rPr>
                <w:rFonts w:ascii="Calibri" w:hAnsi="Calibri"/>
                <w:sz w:val="22"/>
              </w:rPr>
              <w:t>$6.5B–$7.5B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 below midpoint; upside risk given Q1 alone = $4.8B</w:t>
            </w:r>
          </w:p>
        </w:tc>
      </w:tr>
    </w:tbl>
    <w:p>
      <w:r>
        <w:rPr>
          <w:rFonts w:ascii="Calibri" w:hAnsi="Calibri"/>
          <w:i/>
          <w:color w:val="525866"/>
          <w:sz w:val="22"/>
        </w:rPr>
        <w:t>Source: Visible Alpha Consensus and Actuals Data (as-of date April 28, 2026 for baseline; current as of July 21, 2026). Estimates have been remarkably stable since the Q1 print, with the Street largely absorbing the guidance raise without adding incremental cushion. The most notable divergence is FCF, where consensus at $6.91B sits below the $7.0B midpoint despite Q1 alone delivering $4.8B — suggesting the Street is modeling a significant H2 working capital reversal that may prove conservative if order momentum and down payments remain elevated.</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GEV has underperformed both the S&amp;P 500 and XLI (Industrials ETF) since the Q1 2026 earnings print, declining ~4.3% on an indexed basis vs. +5.2% for SPY and +4.5% for XLI through July 21, 2026 — </w:t>
      </w:r>
      <w:r>
        <w:rPr>
          <w:rFonts w:ascii="Calibri" w:hAnsi="Calibri"/>
          <w:b/>
          <w:color w:val="525866"/>
          <w:sz w:val="22"/>
        </w:rPr>
        <w:t>the relative weakness appears multiple-driven rather than fundamental</w:t>
      </w:r>
      <w:r>
        <w:rPr>
          <w:rFonts w:ascii="Calibri" w:hAnsi="Calibri"/>
          <w:color w:val="525866"/>
          <w:sz w:val="22"/>
        </w:rPr>
        <w:t>, as the stock entered the period at a significant premium and has seen some rotation out of high-multiple industrials, creating a potentially more attractive entry point heading into Q2 results.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GEV vs. XLI vs. S&amp;P 500 — Indexed Performance Since Q1 2026 Earnings (April 22, 2026 = 100). Source: Yahoo Finance.</w:t>
      </w:r>
    </w:p>
    <w:p>
      <w:r>
        <w:rPr>
          <w:rFonts w:ascii="Calibri" w:hAnsi="Calibri"/>
          <w:color w:val="525866"/>
          <w:sz w:val="22"/>
        </w:rPr>
        <w:t>GEV opened the post-Q1 period near its prior close (~$1,128) and initially rallied to ~$1,150 in the days following the print, reflecting the strong beat and guidance raise. However, the stock subsequently gave back those gains and trended lower through May–June, reaching a trough near ~$1,036 in mid-July before partially recovering to ~$1,079 by July 21. The underperformance vs. XLI (+4.5%) and SPY (+5.2%) over the same period is notable given the fundamental strength of the Q1 print and the magnitude of the guidance raise. The most likely explanation is multiple compression from an elevated starting point — GEV trades at a significant premium to industrial peers, and the broader market rotation toward more cyclical/value names weighed on the stock. Importantly, the stock's underperformance has not been accompanied by any negative fundamental news, suggesting the setup into Q2 results is cleaner than the price action implies.</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 xml:space="preserve">Peer commentary since GEV's Q1 2026 earnings (April 22, 2026) is uniformly bullish on GEV's end markets — </w:t>
      </w:r>
      <w:r>
        <w:rPr>
          <w:rFonts w:ascii="Calibri" w:hAnsi="Calibri"/>
          <w:b/>
          <w:color w:val="525866"/>
          <w:sz w:val="22"/>
        </w:rPr>
        <w:t>data center power demand is accelerating faster than expected, grid infrastructure investment is entering a multi-year upcycle, and EPC/construction capacity (not equipment supply) remains the binding constraint on gas turbine deployment</w:t>
      </w:r>
      <w:r>
        <w:rPr>
          <w:rFonts w:ascii="Calibri" w:hAnsi="Calibri"/>
          <w:color w:val="525866"/>
          <w:sz w:val="22"/>
        </w:rPr>
        <w:t>. The read-through from Eaton, ABB, Quanta, Hubbell, NextEra, Vistra, NRG, Emerson, and Honeywell is broadly positive for GEV's Power and Electrification segments heading into Q2.</w:t>
      </w:r>
    </w:p>
    <w:p>
      <w:pPr>
        <w:pStyle w:val="Heading3"/>
      </w:pPr>
      <w:r>
        <w:rPr>
          <w:rFonts w:ascii="Calibri" w:hAnsi="Calibri"/>
          <w:b/>
          <w:color w:val="3B4259"/>
          <w:sz w:val="24"/>
        </w:rPr>
        <w:t>Eaton (ETN) — Q1 2026 Earnings Call (May 5, 2026)</w:t>
      </w:r>
    </w:p>
    <w:p>
      <w:r>
        <w:rPr>
          <w:rFonts w:ascii="Calibri" w:hAnsi="Calibri"/>
          <w:b/>
          <w:color w:val="525866"/>
          <w:sz w:val="22"/>
        </w:rPr>
        <w:t xml:space="preserve">Read-Through: </w:t>
      </w:r>
      <w:r>
        <w:rPr>
          <w:rFonts w:ascii="Calibri" w:hAnsi="Calibri"/>
          <w:color w:val="525866"/>
          <w:sz w:val="22"/>
        </w:rPr>
        <w:t xml:space="preserve">Strongly positive for GEV Electrification. </w:t>
      </w:r>
    </w:p>
    <w:p>
      <w:pPr>
        <w:pStyle w:val="ListBullet"/>
        <w:ind w:left="360" w:hanging="360"/>
      </w:pPr>
      <w:r>
        <w:rPr>
          <w:rFonts w:ascii="Calibri" w:hAnsi="Calibri"/>
          <w:b/>
          <w:color w:val="525866"/>
          <w:sz w:val="22"/>
        </w:rPr>
        <w:t>Data center orders up 240%</w:t>
      </w:r>
      <w:r>
        <w:rPr>
          <w:rFonts w:ascii="Calibri" w:hAnsi="Calibri"/>
          <w:color w:val="525866"/>
          <w:sz w:val="22"/>
        </w:rPr>
        <w:t xml:space="preserve"> in Q1 2026, with total data center capacity under construction in the U.S. now estimated at 32 GW (70% AI). Eaton raised its full-year data center outlook and noted demand is “growing even faster than we estimated 3 months ago.” This directly validates GEV’s Q1 commentary that electrification data center orders in Q1 alone exceeded all of 2025.</w:t>
      </w:r>
    </w:p>
    <w:p>
      <w:pPr>
        <w:pStyle w:val="ListBullet"/>
        <w:ind w:left="360" w:hanging="360"/>
      </w:pPr>
      <w:r>
        <w:rPr>
          <w:rFonts w:ascii="Calibri" w:hAnsi="Calibri"/>
          <w:b/>
          <w:color w:val="525866"/>
          <w:sz w:val="22"/>
        </w:rPr>
        <w:t>Electrical backlog up 48% YoY</w:t>
      </w:r>
      <w:r>
        <w:rPr>
          <w:rFonts w:ascii="Calibri" w:hAnsi="Calibri"/>
          <w:color w:val="525866"/>
          <w:sz w:val="22"/>
        </w:rPr>
        <w:t xml:space="preserve"> to a record, with book-to-bill of 1.2x on a rolling 12-month basis. Eaton raised organic growth guidance by 200 bps to a 10% midpoint — a direct read-through for GEV’s Electrification segment, which competes in overlapping grid and data center markets.</w:t>
      </w:r>
    </w:p>
    <w:p>
      <w:pPr>
        <w:pStyle w:val="ListBullet"/>
        <w:ind w:left="360" w:hanging="360"/>
      </w:pPr>
      <w:r>
        <w:rPr>
          <w:rFonts w:ascii="Calibri" w:hAnsi="Calibri"/>
          <w:b/>
          <w:color w:val="525866"/>
          <w:sz w:val="22"/>
        </w:rPr>
        <w:t>Solid-state transformer and DC architecture momentum:</w:t>
      </w:r>
      <w:r>
        <w:rPr>
          <w:rFonts w:ascii="Calibri" w:hAnsi="Calibri"/>
          <w:color w:val="525866"/>
          <w:sz w:val="22"/>
        </w:rPr>
        <w:t xml:space="preserve"> Eaton is “in a leading position to commercialize medium-voltage solid-state transformers” and expects 800V DC orders in H2 2026 for shipments starting late 2027. GEV is also developing a solid-state transformer for hyperscaler delivery in fall 2026 — both companies are racing to capture the same next-generation data center infrastructure opportunity.</w:t>
      </w:r>
    </w:p>
    <w:p>
      <w:pPr>
        <w:pStyle w:val="ListBullet"/>
        <w:ind w:left="360" w:hanging="360"/>
      </w:pPr>
      <w:r>
        <w:rPr>
          <w:rFonts w:ascii="Calibri" w:hAnsi="Calibri"/>
          <w:b/>
          <w:color w:val="525866"/>
          <w:sz w:val="22"/>
        </w:rPr>
        <w:t>Mega project starts reached $54B in Q1 2026</w:t>
      </w:r>
      <w:r>
        <w:rPr>
          <w:rFonts w:ascii="Calibri" w:hAnsi="Calibri"/>
          <w:color w:val="525866"/>
          <w:sz w:val="22"/>
        </w:rPr>
        <w:t xml:space="preserve"> — more than double the same period last year and the third-best quarter on record. This broad-based infrastructure investment cycle is a tailwind for GEV’s entire equipment portfolio.</w:t>
      </w:r>
    </w:p>
    <w:p>
      <w:pPr>
        <w:pStyle w:val="Heading3"/>
      </w:pPr>
      <w:r>
        <w:rPr>
          <w:rFonts w:ascii="Calibri" w:hAnsi="Calibri"/>
          <w:b/>
          <w:color w:val="3B4259"/>
          <w:sz w:val="24"/>
        </w:rPr>
        <w:t>ABB (ABBNY) — Q1 2026 Earnings Call (April 22, 2026)</w:t>
      </w:r>
    </w:p>
    <w:p>
      <w:r>
        <w:rPr>
          <w:rFonts w:ascii="Calibri" w:hAnsi="Calibri"/>
          <w:b/>
          <w:color w:val="525866"/>
          <w:sz w:val="22"/>
        </w:rPr>
        <w:t xml:space="preserve">Read-Through: </w:t>
      </w:r>
      <w:r>
        <w:rPr>
          <w:rFonts w:ascii="Calibri" w:hAnsi="Calibri"/>
          <w:color w:val="525866"/>
          <w:sz w:val="22"/>
        </w:rPr>
        <w:t xml:space="preserve">Positive for GEV Power and Electrification; confirms supply bottleneck narrative. </w:t>
      </w:r>
    </w:p>
    <w:p>
      <w:pPr>
        <w:pStyle w:val="ListBullet"/>
        <w:ind w:left="360" w:hanging="360"/>
      </w:pPr>
      <w:r>
        <w:rPr>
          <w:rFonts w:ascii="Calibri" w:hAnsi="Calibri"/>
          <w:b/>
          <w:color w:val="525866"/>
          <w:sz w:val="22"/>
        </w:rPr>
        <w:t>Data center orders up triple digits</w:t>
      </w:r>
      <w:r>
        <w:rPr>
          <w:rFonts w:ascii="Calibri" w:hAnsi="Calibri"/>
          <w:color w:val="525866"/>
          <w:sz w:val="22"/>
        </w:rPr>
        <w:t xml:space="preserve"> in ABB’s Electrification business area, with the pipeline described as “very strong” and customer feedback focused on “how we can help them expand faster.” ABB’s record backlog of $27.5B (up 22%) and nearly 5 quarters of Automation revenue coverage confirm the multi-year nature of the demand cycle.</w:t>
      </w:r>
    </w:p>
    <w:p>
      <w:pPr>
        <w:pStyle w:val="ListBullet"/>
        <w:ind w:left="360" w:hanging="360"/>
      </w:pPr>
      <w:r>
        <w:rPr>
          <w:rFonts w:ascii="Calibri" w:hAnsi="Calibri"/>
          <w:b/>
          <w:color w:val="525866"/>
          <w:sz w:val="22"/>
        </w:rPr>
        <w:t>ABB explicitly flagged gas turbines and large power transformers as “more of a limiting factor”</w:t>
      </w:r>
      <w:r>
        <w:rPr>
          <w:rFonts w:ascii="Calibri" w:hAnsi="Calibri"/>
          <w:color w:val="525866"/>
          <w:sz w:val="22"/>
        </w:rPr>
        <w:t xml:space="preserve"> vs. switchgear and components — a direct validation of GEV’s pricing power and the scarcity value of its gas turbine capacity. This supply constraint narrative supports GEV’s ability to maintain 10–20 point SRA pricing premiums.</w:t>
      </w:r>
    </w:p>
    <w:p>
      <w:pPr>
        <w:pStyle w:val="ListBullet"/>
        <w:ind w:left="360" w:hanging="360"/>
      </w:pPr>
      <w:r>
        <w:rPr>
          <w:rFonts w:ascii="Calibri" w:hAnsi="Calibri"/>
          <w:b/>
          <w:color w:val="525866"/>
          <w:sz w:val="22"/>
        </w:rPr>
        <w:t>Medium voltage UPS gaining traction:</w:t>
      </w:r>
      <w:r>
        <w:rPr>
          <w:rFonts w:ascii="Calibri" w:hAnsi="Calibri"/>
          <w:color w:val="525866"/>
          <w:sz w:val="22"/>
        </w:rPr>
        <w:t xml:space="preserve"> ABB is “the first and only provider of a medium voltage UPS” and is seeing scope expansion in data centers. GEV is developing a similar MVUPS ‘stability block’ product — the competitive dynamic here is worth monitoring, though both companies appear to be growing the overall market rather than competing head-to-head at this stage.</w:t>
      </w:r>
    </w:p>
    <w:p>
      <w:pPr>
        <w:pStyle w:val="Heading3"/>
      </w:pPr>
      <w:r>
        <w:rPr>
          <w:rFonts w:ascii="Calibri" w:hAnsi="Calibri"/>
          <w:b/>
          <w:color w:val="3B4259"/>
          <w:sz w:val="24"/>
        </w:rPr>
        <w:t>Quanta Services (PWR) — Q1 2026 Earnings Call (April 30, 2026) &amp; Bernstein Conference (May 28, 2026)</w:t>
      </w:r>
    </w:p>
    <w:p>
      <w:r>
        <w:rPr>
          <w:rFonts w:ascii="Calibri" w:hAnsi="Calibri"/>
          <w:b/>
          <w:color w:val="525866"/>
          <w:sz w:val="22"/>
        </w:rPr>
        <w:t xml:space="preserve">Read-Through: </w:t>
      </w:r>
      <w:r>
        <w:rPr>
          <w:rFonts w:ascii="Calibri" w:hAnsi="Calibri"/>
          <w:color w:val="525866"/>
          <w:sz w:val="22"/>
        </w:rPr>
        <w:t xml:space="preserve">Positive for GEV Power; confirms EPC bottleneck as the binding constraint on gas turbine deployment. </w:t>
      </w:r>
    </w:p>
    <w:p>
      <w:pPr>
        <w:pStyle w:val="ListBullet"/>
        <w:ind w:left="360" w:hanging="360"/>
      </w:pPr>
      <w:r>
        <w:rPr>
          <w:rFonts w:ascii="Calibri" w:hAnsi="Calibri"/>
          <w:b/>
          <w:color w:val="525866"/>
          <w:sz w:val="22"/>
        </w:rPr>
        <w:t>Record backlog of $48.5B</w:t>
      </w:r>
      <w:r>
        <w:rPr>
          <w:rFonts w:ascii="Calibri" w:hAnsi="Calibri"/>
          <w:color w:val="525866"/>
          <w:sz w:val="22"/>
        </w:rPr>
        <w:t xml:space="preserve"> with book-to-bill of 1.6x in Q1 2026. Quanta raised full-year revenue guidance to $34.7–35.2B and EBITDA to $3.49–3.65B. The company sees “a decade plus” of demand for transmission, generation, and electrification infrastructure.</w:t>
      </w:r>
    </w:p>
    <w:p>
      <w:pPr>
        <w:pStyle w:val="ListBullet"/>
        <w:ind w:left="360" w:hanging="360"/>
      </w:pPr>
      <w:r>
        <w:rPr>
          <w:rFonts w:ascii="Calibri" w:hAnsi="Calibri"/>
          <w:b/>
          <w:color w:val="525866"/>
          <w:sz w:val="22"/>
        </w:rPr>
        <w:t>CCGT orders are “pushing outward”:</w:t>
      </w:r>
      <w:r>
        <w:rPr>
          <w:rFonts w:ascii="Calibri" w:hAnsi="Calibri"/>
          <w:color w:val="525866"/>
          <w:sz w:val="22"/>
        </w:rPr>
        <w:t xml:space="preserve"> Quanta noted that combined cycle gas turbine orders placed today imply a 30–36 month equipment lead time plus 2 years of construction — meaning “you’re 5 years from today if you order today.” This directly validates GEV’s commentary that EPC construction capacity, not factory output, is the primary constraint on gas turbine deployment timing, and explains why 2029 slots remain available while 2030 slots are sold.</w:t>
      </w:r>
    </w:p>
    <w:p>
      <w:pPr>
        <w:pStyle w:val="ListBullet"/>
        <w:ind w:left="360" w:hanging="360"/>
      </w:pPr>
      <w:r>
        <w:rPr>
          <w:rFonts w:ascii="Calibri" w:hAnsi="Calibri"/>
          <w:b/>
          <w:color w:val="525866"/>
          <w:sz w:val="22"/>
        </w:rPr>
        <w:t>Utility CapEx budgets growing at +20% CAGR</w:t>
      </w:r>
      <w:r>
        <w:rPr>
          <w:rFonts w:ascii="Calibri" w:hAnsi="Calibri"/>
          <w:color w:val="525866"/>
          <w:sz w:val="22"/>
        </w:rPr>
        <w:t xml:space="preserve"> vs. 8–9% just 1–2 years ago, with customer conversations extending “well past 2030.” Quanta is nearly doubling its fabrication facilities to meet demand. This sustained infrastructure investment cycle is a multi-year tailwind for GEV’s entire equipment and services portfolio.</w:t>
      </w:r>
    </w:p>
    <w:p>
      <w:pPr>
        <w:pStyle w:val="ListBullet"/>
        <w:ind w:left="360" w:hanging="360"/>
      </w:pPr>
      <w:r>
        <w:rPr>
          <w:rFonts w:ascii="Calibri" w:hAnsi="Calibri"/>
          <w:b/>
          <w:color w:val="525866"/>
          <w:sz w:val="22"/>
        </w:rPr>
        <w:t>Inbounds on gas-fired generation “probably every bit as robust as data center,”</w:t>
      </w:r>
      <w:r>
        <w:rPr>
          <w:rFonts w:ascii="Calibri" w:hAnsi="Calibri"/>
          <w:color w:val="525866"/>
          <w:sz w:val="22"/>
        </w:rPr>
        <w:t xml:space="preserve"> per Quanta CEO Duke Austin at the Bernstein Conference. This confirms the demand environment for new gas generation remains extremely strong heading into Q2 2026.</w:t>
      </w:r>
    </w:p>
    <w:p>
      <w:pPr>
        <w:pStyle w:val="Heading3"/>
      </w:pPr>
      <w:r>
        <w:rPr>
          <w:rFonts w:ascii="Calibri" w:hAnsi="Calibri"/>
          <w:b/>
          <w:color w:val="3B4259"/>
          <w:sz w:val="24"/>
        </w:rPr>
        <w:t>Hubbell (HUBB) — Q1 2026 Earnings Call (April 30, 2026) &amp; Wells Fargo Conference (June 9, 2026)</w:t>
      </w:r>
    </w:p>
    <w:p>
      <w:r>
        <w:rPr>
          <w:rFonts w:ascii="Calibri" w:hAnsi="Calibri"/>
          <w:b/>
          <w:color w:val="525866"/>
          <w:sz w:val="22"/>
        </w:rPr>
        <w:t xml:space="preserve">Read-Through: </w:t>
      </w:r>
      <w:r>
        <w:rPr>
          <w:rFonts w:ascii="Calibri" w:hAnsi="Calibri"/>
          <w:color w:val="525866"/>
          <w:sz w:val="22"/>
        </w:rPr>
        <w:t xml:space="preserve">Positive for GEV Electrification; confirms transmission and substation upcycle is accelerating. </w:t>
      </w:r>
    </w:p>
    <w:p>
      <w:pPr>
        <w:pStyle w:val="ListBullet"/>
        <w:ind w:left="360" w:hanging="360"/>
      </w:pPr>
      <w:r>
        <w:rPr>
          <w:rFonts w:ascii="Calibri" w:hAnsi="Calibri"/>
          <w:b/>
          <w:color w:val="525866"/>
          <w:sz w:val="22"/>
        </w:rPr>
        <w:t>Hubbell explicitly cited GEV as a benchmark:</w:t>
      </w:r>
      <w:r>
        <w:rPr>
          <w:rFonts w:ascii="Calibri" w:hAnsi="Calibri"/>
          <w:color w:val="525866"/>
          <w:sz w:val="22"/>
        </w:rPr>
        <w:t xml:space="preserve"> When asked about double-digit transmission growth, management referenced “GE Vernova of the world are growing strong double digits in transmission/grid transmission” as the comparison point, and confirmed Hubbell is also seeing double-digit growth in its transmission and substation business.</w:t>
      </w:r>
    </w:p>
    <w:p>
      <w:pPr>
        <w:pStyle w:val="ListBullet"/>
        <w:ind w:left="360" w:hanging="360"/>
      </w:pPr>
      <w:r>
        <w:rPr>
          <w:rFonts w:ascii="Calibri" w:hAnsi="Calibri"/>
          <w:b/>
          <w:color w:val="525866"/>
          <w:sz w:val="22"/>
        </w:rPr>
        <w:t>Data center orders up ~40% in Q1 2026</w:t>
      </w:r>
      <w:r>
        <w:rPr>
          <w:rFonts w:ascii="Calibri" w:hAnsi="Calibri"/>
          <w:color w:val="525866"/>
          <w:sz w:val="22"/>
        </w:rPr>
        <w:t>, with full-year data center outlook raised to “more than 25%” growth (from 15% prior). Hubbell’s T&amp;D markets described as “still very supportive” with order rates and backlog at record levels.</w:t>
      </w:r>
    </w:p>
    <w:p>
      <w:pPr>
        <w:pStyle w:val="ListBullet"/>
        <w:ind w:left="360" w:hanging="360"/>
      </w:pPr>
      <w:r>
        <w:rPr>
          <w:rFonts w:ascii="Calibri" w:hAnsi="Calibri"/>
          <w:b/>
          <w:color w:val="525866"/>
          <w:sz w:val="22"/>
        </w:rPr>
        <w:t>765 kV high-voltage transmission emerging as a new growth vector:</w:t>
      </w:r>
      <w:r>
        <w:rPr>
          <w:rFonts w:ascii="Calibri" w:hAnsi="Calibri"/>
          <w:color w:val="525866"/>
          <w:sz w:val="22"/>
        </w:rPr>
        <w:t xml:space="preserve"> Hubbell won its first large-scale 765 kV project and sized the 10-year market opportunity at $1.5B. This high-voltage build-out is incremental to existing 345 kV work and requires substations and off-ramps — all areas where GEV’s grid solutions business competes.</w:t>
      </w:r>
    </w:p>
    <w:p>
      <w:pPr>
        <w:pStyle w:val="ListBullet"/>
        <w:ind w:left="360" w:hanging="360"/>
      </w:pPr>
      <w:r>
        <w:rPr>
          <w:rFonts w:ascii="Calibri" w:hAnsi="Calibri"/>
          <w:b/>
          <w:color w:val="525866"/>
          <w:sz w:val="22"/>
        </w:rPr>
        <w:t>At the Wells Fargo Conference (June 9, 2026):</w:t>
      </w:r>
      <w:r>
        <w:rPr>
          <w:rFonts w:ascii="Calibri" w:hAnsi="Calibri"/>
          <w:color w:val="525866"/>
          <w:sz w:val="22"/>
        </w:rPr>
        <w:t xml:space="preserve"> Hubbell management confirmed transmission and substation growth rates are “exceeding high-single digits” and expects this to continue, with utility CapEx budgets “clearly increasing.” The 765 kV opportunity “could add a point of growth” to already-elevated guidance.</w:t>
      </w:r>
    </w:p>
    <w:p>
      <w:pPr>
        <w:pStyle w:val="Heading3"/>
      </w:pPr>
      <w:r>
        <w:rPr>
          <w:rFonts w:ascii="Calibri" w:hAnsi="Calibri"/>
          <w:b/>
          <w:color w:val="3B4259"/>
          <w:sz w:val="24"/>
        </w:rPr>
        <w:t>NextEra Energy (NEE) — Q1 2026 Earnings Call (April 23, 2026)</w:t>
      </w:r>
    </w:p>
    <w:p>
      <w:r>
        <w:rPr>
          <w:rFonts w:ascii="Calibri" w:hAnsi="Calibri"/>
          <w:b/>
          <w:color w:val="525866"/>
          <w:sz w:val="22"/>
        </w:rPr>
        <w:t xml:space="preserve">Read-Through: </w:t>
      </w:r>
      <w:r>
        <w:rPr>
          <w:rFonts w:ascii="Calibri" w:hAnsi="Calibri"/>
          <w:color w:val="525866"/>
          <w:sz w:val="22"/>
        </w:rPr>
        <w:t xml:space="preserve">Positive for GEV Power; confirms massive new gas generation demand and turbine supply adequacy. </w:t>
      </w:r>
    </w:p>
    <w:p>
      <w:pPr>
        <w:pStyle w:val="ListBullet"/>
        <w:ind w:left="360" w:hanging="360"/>
      </w:pPr>
      <w:r>
        <w:rPr>
          <w:rFonts w:ascii="Calibri" w:hAnsi="Calibri"/>
          <w:b/>
          <w:color w:val="525866"/>
          <w:sz w:val="22"/>
        </w:rPr>
        <w:t>U.S. Department of Commerce selected NextEra to build 9.5 GW of new gas-fired generation</w:t>
      </w:r>
      <w:r>
        <w:rPr>
          <w:rFonts w:ascii="Calibri" w:hAnsi="Calibri"/>
          <w:color w:val="525866"/>
          <w:sz w:val="22"/>
        </w:rPr>
        <w:t xml:space="preserve"> in Texas and Pennsylvania to serve large load customers, in connection with Japan’s $550B U.S. investment commitment. CEO John Ketchum confirmed “ample supply of the turbines” for both projects — a direct reference to GEV’s gas turbine supply chain.</w:t>
      </w:r>
    </w:p>
    <w:p>
      <w:pPr>
        <w:pStyle w:val="ListBullet"/>
        <w:ind w:left="360" w:hanging="360"/>
      </w:pPr>
      <w:r>
        <w:rPr>
          <w:rFonts w:ascii="Calibri" w:hAnsi="Calibri"/>
          <w:b/>
          <w:color w:val="525866"/>
          <w:sz w:val="22"/>
        </w:rPr>
        <w:t>21 GW of large load interest at FPL</w:t>
      </w:r>
      <w:r>
        <w:rPr>
          <w:rFonts w:ascii="Calibri" w:hAnsi="Calibri"/>
          <w:color w:val="525866"/>
          <w:sz w:val="22"/>
        </w:rPr>
        <w:t>, with 12 GW in advanced discussions and some potentially served as early as 2028. NextEra’s base case is 15 GW of new generation to serve large load by 2035, with an upside case of 30+ GW — approximately 50% from gas-fired generation. This represents a massive multi-year demand pipeline for GEV gas turbines.</w:t>
      </w:r>
    </w:p>
    <w:p>
      <w:pPr>
        <w:pStyle w:val="ListBullet"/>
        <w:ind w:left="360" w:hanging="360"/>
      </w:pPr>
      <w:r>
        <w:rPr>
          <w:rFonts w:ascii="Calibri" w:hAnsi="Calibri"/>
          <w:b/>
          <w:color w:val="525866"/>
          <w:sz w:val="22"/>
        </w:rPr>
        <w:t>Labor and permitting — not equipment — are the biggest constraints</w:t>
      </w:r>
      <w:r>
        <w:rPr>
          <w:rFonts w:ascii="Calibri" w:hAnsi="Calibri"/>
          <w:color w:val="525866"/>
          <w:sz w:val="22"/>
        </w:rPr>
        <w:t xml:space="preserve"> on getting gas built faster, per Ketchum. This is consistent with GEV’s own commentary that EPC construction capacity is the binding constraint, not factory output.</w:t>
      </w:r>
    </w:p>
    <w:p>
      <w:pPr>
        <w:pStyle w:val="ListBullet"/>
        <w:ind w:left="360" w:hanging="360"/>
      </w:pPr>
      <w:r>
        <w:rPr>
          <w:rFonts w:ascii="Calibri" w:hAnsi="Calibri"/>
          <w:b/>
          <w:color w:val="525866"/>
          <w:sz w:val="22"/>
        </w:rPr>
        <w:t>NextEra secured sufficient transformer capacity through end of decade</w:t>
      </w:r>
      <w:r>
        <w:rPr>
          <w:rFonts w:ascii="Calibri" w:hAnsi="Calibri"/>
          <w:color w:val="525866"/>
          <w:sz w:val="22"/>
        </w:rPr>
        <w:t xml:space="preserve"> — a positive read-through for GEV’s Electrification segment, as transformer demand is being locked up years in advance, validating the scarcity and pricing power narrative.</w:t>
      </w:r>
    </w:p>
    <w:p>
      <w:pPr>
        <w:pStyle w:val="Heading3"/>
      </w:pPr>
      <w:r>
        <w:rPr>
          <w:rFonts w:ascii="Calibri" w:hAnsi="Calibri"/>
          <w:b/>
          <w:color w:val="3B4259"/>
          <w:sz w:val="24"/>
        </w:rPr>
        <w:t>Vistra (VST) — Q1 2026 Earnings Call (May 7, 2026)</w:t>
      </w:r>
    </w:p>
    <w:p>
      <w:r>
        <w:rPr>
          <w:rFonts w:ascii="Calibri" w:hAnsi="Calibri"/>
          <w:b/>
          <w:color w:val="525866"/>
          <w:sz w:val="22"/>
        </w:rPr>
        <w:t xml:space="preserve">Read-Through: </w:t>
      </w:r>
      <w:r>
        <w:rPr>
          <w:rFonts w:ascii="Calibri" w:hAnsi="Calibri"/>
          <w:color w:val="525866"/>
          <w:sz w:val="22"/>
        </w:rPr>
        <w:t xml:space="preserve">Positive for GEV Power; confirms load growth is real and gas generation is the preferred bridge solution. </w:t>
      </w:r>
    </w:p>
    <w:p>
      <w:pPr>
        <w:pStyle w:val="ListBullet"/>
        <w:ind w:left="360" w:hanging="360"/>
      </w:pPr>
      <w:r>
        <w:rPr>
          <w:rFonts w:ascii="Calibri" w:hAnsi="Calibri"/>
          <w:b/>
          <w:color w:val="525866"/>
          <w:sz w:val="22"/>
        </w:rPr>
        <w:t>Load growth is “real and actualizing,”</w:t>
      </w:r>
      <w:r>
        <w:rPr>
          <w:rFonts w:ascii="Calibri" w:hAnsi="Calibri"/>
          <w:color w:val="525866"/>
          <w:sz w:val="22"/>
        </w:rPr>
        <w:t xml:space="preserve"> with ERCOT expected to see 5–6% annual load growth through 2030 and PJM 2–3%. Vistra’s management noted that “so much of this power generation is going to come from natural gas” and that “there is no better hedge than flexible, dispatchable natural gas assets.”</w:t>
      </w:r>
    </w:p>
    <w:p>
      <w:pPr>
        <w:pStyle w:val="ListBullet"/>
        <w:ind w:left="360" w:hanging="360"/>
      </w:pPr>
      <w:r>
        <w:rPr>
          <w:rFonts w:ascii="Calibri" w:hAnsi="Calibri"/>
          <w:b/>
          <w:color w:val="525866"/>
          <w:sz w:val="22"/>
        </w:rPr>
        <w:t>Hyperscalers executing on record CapEx plans</w:t>
      </w:r>
      <w:r>
        <w:rPr>
          <w:rFonts w:ascii="Calibri" w:hAnsi="Calibri"/>
          <w:color w:val="525866"/>
          <w:sz w:val="22"/>
        </w:rPr>
        <w:t xml:space="preserve"> with “speed to power” as the most important factor. Vistra announced 2,600 MW of long-term PPAs with Meta at its PJM nuclear sites and acquired the 5,500 MW Cogentrix natural gas portfolio — both transactions drive incremental demand for GEV’s gas turbine services and electrification equipment.</w:t>
      </w:r>
    </w:p>
    <w:p>
      <w:pPr>
        <w:pStyle w:val="ListBullet"/>
        <w:ind w:left="360" w:hanging="360"/>
      </w:pPr>
      <w:r>
        <w:rPr>
          <w:rFonts w:ascii="Calibri" w:hAnsi="Calibri"/>
          <w:b/>
          <w:color w:val="525866"/>
          <w:sz w:val="22"/>
        </w:rPr>
        <w:t>Bridge power conversations “leaning towards gas,”</w:t>
      </w:r>
      <w:r>
        <w:rPr>
          <w:rFonts w:ascii="Calibri" w:hAnsi="Calibri"/>
          <w:color w:val="525866"/>
          <w:sz w:val="22"/>
        </w:rPr>
        <w:t xml:space="preserve"> with Vistra talking to multiple OEMs about different technologies. This confirms the near-term demand environment for gas generation equipment remains robust.</w:t>
      </w:r>
    </w:p>
    <w:p>
      <w:pPr>
        <w:pStyle w:val="Heading3"/>
      </w:pPr>
      <w:r>
        <w:rPr>
          <w:rFonts w:ascii="Calibri" w:hAnsi="Calibri"/>
          <w:b/>
          <w:color w:val="3B4259"/>
          <w:sz w:val="24"/>
        </w:rPr>
        <w:t>NRG Energy (NRG) — Q1 2026 Earnings Call (May 6, 2026)</w:t>
      </w:r>
    </w:p>
    <w:p>
      <w:r>
        <w:rPr>
          <w:rFonts w:ascii="Calibri" w:hAnsi="Calibri"/>
          <w:b/>
          <w:color w:val="525866"/>
          <w:sz w:val="22"/>
        </w:rPr>
        <w:t xml:space="preserve">Read-Through: </w:t>
      </w:r>
      <w:r>
        <w:rPr>
          <w:rFonts w:ascii="Calibri" w:hAnsi="Calibri"/>
          <w:color w:val="525866"/>
          <w:sz w:val="22"/>
        </w:rPr>
        <w:t xml:space="preserve">Directly positive for GEV — NRG explicitly cited its GEV partnership as a competitive advantage. </w:t>
      </w:r>
    </w:p>
    <w:p>
      <w:pPr>
        <w:pStyle w:val="ListBullet"/>
        <w:ind w:left="360" w:hanging="360"/>
      </w:pPr>
      <w:r>
        <w:rPr>
          <w:rFonts w:ascii="Calibri" w:hAnsi="Calibri"/>
          <w:b/>
          <w:color w:val="525866"/>
          <w:sz w:val="22"/>
        </w:rPr>
        <w:t>NRG explicitly named GEV:</w:t>
      </w:r>
      <w:r>
        <w:rPr>
          <w:rFonts w:ascii="Calibri" w:hAnsi="Calibri"/>
          <w:color w:val="525866"/>
          <w:sz w:val="22"/>
        </w:rPr>
        <w:t xml:space="preserve"> “Our partnership with GEV and Kiewit gives us construction capability, equipment access, and execution readiness that most companies in the space are still trying to establish.” NRG also noted it has “the opportunity to take the GE turbines up there [PJM] if the economics make sense.” This is a direct validation of GEV’s commercial relationships and equipment access advantage.</w:t>
      </w:r>
    </w:p>
    <w:p>
      <w:pPr>
        <w:pStyle w:val="ListBullet"/>
        <w:ind w:left="360" w:hanging="360"/>
      </w:pPr>
      <w:r>
        <w:rPr>
          <w:rFonts w:ascii="Calibri" w:hAnsi="Calibri"/>
          <w:b/>
          <w:color w:val="525866"/>
          <w:sz w:val="22"/>
        </w:rPr>
        <w:t>ERCOT large load pipeline could reach 367 GW by 2033</w:t>
      </w:r>
      <w:r>
        <w:rPr>
          <w:rFonts w:ascii="Calibri" w:hAnsi="Calibri"/>
          <w:color w:val="525866"/>
          <w:sz w:val="22"/>
        </w:rPr>
        <w:t xml:space="preserve"> per the preliminary long-term load forecast — “more than 4x today’s record peak in under a decade.” Even if a fraction materializes, NRG management stated “this market is off to the races.”</w:t>
      </w:r>
    </w:p>
    <w:p>
      <w:pPr>
        <w:pStyle w:val="ListBullet"/>
        <w:ind w:left="360" w:hanging="360"/>
      </w:pPr>
      <w:r>
        <w:rPr>
          <w:rFonts w:ascii="Calibri" w:hAnsi="Calibri"/>
          <w:b/>
          <w:color w:val="525866"/>
          <w:sz w:val="22"/>
        </w:rPr>
        <w:t>Texas Energy Fund projects on track:</w:t>
      </w:r>
      <w:r>
        <w:rPr>
          <w:rFonts w:ascii="Calibri" w:hAnsi="Calibri"/>
          <w:color w:val="525866"/>
          <w:sz w:val="22"/>
        </w:rPr>
        <w:t xml:space="preserve"> NRG’s first TEF project (T.H. Wharton, 1.5 GW) expected online in May 2026 “on time, on cost, and on spec.” Remaining TEF projects (1.5 GW total) progressing for 2028 CODs. These projects represent incremental GEV gas turbine deliveries and services revenue.</w:t>
      </w:r>
    </w:p>
    <w:p>
      <w:pPr>
        <w:pStyle w:val="Heading3"/>
      </w:pPr>
      <w:r>
        <w:rPr>
          <w:rFonts w:ascii="Calibri" w:hAnsi="Calibri"/>
          <w:b/>
          <w:color w:val="3B4259"/>
          <w:sz w:val="24"/>
        </w:rPr>
        <w:t>Emerson Electric (EMR) — Q2 2026 Earnings Call (May 5, 2026)</w:t>
      </w:r>
    </w:p>
    <w:p>
      <w:r>
        <w:rPr>
          <w:rFonts w:ascii="Calibri" w:hAnsi="Calibri"/>
          <w:b/>
          <w:color w:val="525866"/>
          <w:sz w:val="22"/>
        </w:rPr>
        <w:t xml:space="preserve">Read-Through: </w:t>
      </w:r>
      <w:r>
        <w:rPr>
          <w:rFonts w:ascii="Calibri" w:hAnsi="Calibri"/>
          <w:color w:val="525866"/>
          <w:sz w:val="22"/>
        </w:rPr>
        <w:t xml:space="preserve">Positive for GEV Power; confirms broad-based power sector investment acceleration. </w:t>
      </w:r>
    </w:p>
    <w:p>
      <w:pPr>
        <w:pStyle w:val="ListBullet"/>
        <w:ind w:left="360" w:hanging="360"/>
      </w:pPr>
      <w:r>
        <w:rPr>
          <w:rFonts w:ascii="Calibri" w:hAnsi="Calibri"/>
          <w:b/>
          <w:color w:val="525866"/>
          <w:sz w:val="22"/>
        </w:rPr>
        <w:t>Power sector orders up 23% in Q2 2026</w:t>
      </w:r>
      <w:r>
        <w:rPr>
          <w:rFonts w:ascii="Calibri" w:hAnsi="Calibri"/>
          <w:color w:val="525866"/>
          <w:sz w:val="22"/>
        </w:rPr>
        <w:t>, with Emerson’s Ovation business (power generation control systems) up 41% YoY. Emerson’s project funnel grew to $11.2B, “driven by new opportunities in power.” This broad-based power investment cycle is a direct tailwind for GEV’s gas turbine and services business.</w:t>
      </w:r>
    </w:p>
    <w:p>
      <w:pPr>
        <w:pStyle w:val="ListBullet"/>
        <w:ind w:left="360" w:hanging="360"/>
      </w:pPr>
      <w:r>
        <w:rPr>
          <w:rFonts w:ascii="Calibri" w:hAnsi="Calibri"/>
          <w:b/>
          <w:color w:val="525866"/>
          <w:sz w:val="22"/>
        </w:rPr>
        <w:t>Behind-the-meter generation for data centers accelerating:</w:t>
      </w:r>
      <w:r>
        <w:rPr>
          <w:rFonts w:ascii="Calibri" w:hAnsi="Calibri"/>
          <w:color w:val="525866"/>
          <w:sz w:val="22"/>
        </w:rPr>
        <w:t xml:space="preserve"> Emerson expects “bigger greenfield activity in the second half” and “more to happen in the second half and into 2027” on behind-the-meter opportunities. This is consistent with GEV’s commentary on data center demand for both gas power and electrification equipment.</w:t>
      </w:r>
    </w:p>
    <w:p>
      <w:pPr>
        <w:pStyle w:val="ListBullet"/>
        <w:ind w:left="360" w:hanging="360"/>
      </w:pPr>
      <w:r>
        <w:rPr>
          <w:rFonts w:ascii="Calibri" w:hAnsi="Calibri"/>
          <w:b/>
          <w:color w:val="525866"/>
          <w:sz w:val="22"/>
        </w:rPr>
        <w:t>LNG remains a high-growth vertical:</w:t>
      </w:r>
      <w:r>
        <w:rPr>
          <w:rFonts w:ascii="Calibri" w:hAnsi="Calibri"/>
          <w:color w:val="525866"/>
          <w:sz w:val="22"/>
        </w:rPr>
        <w:t xml:space="preserve"> Emerson won the NextDecade Rio Grande LNG Train 4&amp;5 expansion (12 MTPA). LNG infrastructure investment is a secondary tailwind for GEV’s gas power services business, as LNG facilities require gas turbine-driven compression.</w:t>
      </w:r>
    </w:p>
    <w:p>
      <w:pPr>
        <w:pStyle w:val="Heading3"/>
      </w:pPr>
      <w:r>
        <w:rPr>
          <w:rFonts w:ascii="Calibri" w:hAnsi="Calibri"/>
          <w:b/>
          <w:color w:val="3B4259"/>
          <w:sz w:val="24"/>
        </w:rPr>
        <w:t>Honeywell (HON) — Q1 2026 Earnings Call (April 23, 2026) &amp; Investor Day (June 11, 2026)</w:t>
      </w:r>
    </w:p>
    <w:p>
      <w:r>
        <w:rPr>
          <w:rFonts w:ascii="Calibri" w:hAnsi="Calibri"/>
          <w:b/>
          <w:color w:val="525866"/>
          <w:sz w:val="22"/>
        </w:rPr>
        <w:t xml:space="preserve">Read-Through: </w:t>
      </w:r>
      <w:r>
        <w:rPr>
          <w:rFonts w:ascii="Calibri" w:hAnsi="Calibri"/>
          <w:color w:val="525866"/>
          <w:sz w:val="22"/>
        </w:rPr>
        <w:t xml:space="preserve">Positive for GEV Power and Electrification; confirms LNG and grid infrastructure as multi-year secular growth vectors. </w:t>
      </w:r>
    </w:p>
    <w:p>
      <w:pPr>
        <w:pStyle w:val="ListBullet"/>
        <w:ind w:left="360" w:hanging="360"/>
      </w:pPr>
      <w:r>
        <w:rPr>
          <w:rFonts w:ascii="Calibri" w:hAnsi="Calibri"/>
          <w:b/>
          <w:color w:val="525866"/>
          <w:sz w:val="22"/>
        </w:rPr>
        <w:t>Honeywell “very, very bullish on LNG cycle,”</w:t>
      </w:r>
      <w:r>
        <w:rPr>
          <w:rFonts w:ascii="Calibri" w:hAnsi="Calibri"/>
          <w:color w:val="525866"/>
          <w:sz w:val="22"/>
        </w:rPr>
        <w:t xml:space="preserve"> with its LNG business “sold out for the next three years.” Honeywell secured agreements for Commonwealth LNG and NextDecade Rio Grande LNG. LNG infrastructure investment drives demand for GEV’s gas turbine-driven compression and power generation equipment.</w:t>
      </w:r>
    </w:p>
    <w:p>
      <w:pPr>
        <w:pStyle w:val="ListBullet"/>
        <w:ind w:left="360" w:hanging="360"/>
      </w:pPr>
      <w:r>
        <w:rPr>
          <w:rFonts w:ascii="Calibri" w:hAnsi="Calibri"/>
          <w:b/>
          <w:color w:val="525866"/>
          <w:sz w:val="22"/>
        </w:rPr>
        <w:t>Grid infrastructure named as a “priority vertical,”</w:t>
      </w:r>
      <w:r>
        <w:rPr>
          <w:rFonts w:ascii="Calibri" w:hAnsi="Calibri"/>
          <w:color w:val="525866"/>
          <w:sz w:val="22"/>
        </w:rPr>
        <w:t xml:space="preserve"> with Honeywell’s control systems on over 50 GW of installed power base. At the June 11 Investor Day, management stated “if AI is here to stay, you need more energy — therefore LNG and grid infrastructure is important.” This macro framing is directly supportive of GEV’s investment thesis.</w:t>
      </w:r>
    </w:p>
    <w:p>
      <w:pPr>
        <w:pStyle w:val="ListBullet"/>
        <w:ind w:left="360" w:hanging="360"/>
      </w:pPr>
      <w:r>
        <w:rPr>
          <w:rFonts w:ascii="Calibri" w:hAnsi="Calibri"/>
          <w:b/>
          <w:color w:val="525866"/>
          <w:sz w:val="22"/>
        </w:rPr>
        <w:t>Data center revenue growing from 4% of sales in 2025 to “well above 5%” in 2026,</w:t>
      </w:r>
      <w:r>
        <w:rPr>
          <w:rFonts w:ascii="Calibri" w:hAnsi="Calibri"/>
          <w:color w:val="525866"/>
          <w:sz w:val="22"/>
        </w:rPr>
        <w:t xml:space="preserve"> with Honeywell actively working on liquid cooling solutions and behind-the-meter power generation for data centers. The convergence of power generation and data center infrastructure is a theme that benefits GEV’s integrated power-plus-grid value proposition.</w:t>
      </w:r>
    </w:p>
    <w:p>
      <w:r>
        <w:rPr>
          <w:rFonts w:ascii="Calibri" w:hAnsi="Calibri"/>
          <w:b/>
          <w:color w:val="525866"/>
          <w:sz w:val="22"/>
        </w:rPr>
        <w:t xml:space="preserve">Overall Peer Read-Through Summary: </w:t>
      </w:r>
      <w:r>
        <w:rPr>
          <w:rFonts w:ascii="Calibri" w:hAnsi="Calibri"/>
          <w:color w:val="525866"/>
          <w:sz w:val="22"/>
        </w:rPr>
        <w:t>The collective commentary from 7 peers across the energy infrastructure and industrial electrification ecosystem is unambiguously positive for GEV’s Q2 2026 setup. Data center power demand is accelerating faster than expected (Eaton, ABB, Hubbell, NextEra), gas generation demand is robust with EPC/labor — not equipment — as the binding constraint (Quanta, NextEra, Vistra), grid infrastructure investment is entering a multi-year upcycle with utility CapEx budgets growing at 20%+ (Quanta, Hubbell), and NRG explicitly named GEV as a strategic partner with equipment access advantage. The only area of caution is the competitive dynamic in medium-voltage UPS and solid-state transformers, where both ABB and Eaton are investing aggressively in products that overlap with GEV’s Electrification roadmap.</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Q1 print is the </w:t>
      </w:r>
      <w:r>
        <w:rPr>
          <w:rFonts w:ascii="Calibri" w:hAnsi="Calibri"/>
          <w:b/>
          <w:color w:val="525866"/>
          <w:sz w:val="22"/>
        </w:rPr>
        <w:t>U.S.–Japan government announcement of up to $40B for GE Vernova Hitachi SMRs</w:t>
      </w:r>
      <w:r>
        <w:rPr>
          <w:rFonts w:ascii="Calibri" w:hAnsi="Calibri"/>
          <w:color w:val="525866"/>
          <w:sz w:val="22"/>
        </w:rPr>
        <w:t xml:space="preserve"> and the continued acceleration of gas power order momentum into April — both validate the long-term demand thesis and support the 110 GW year-end target.</w:t>
      </w:r>
    </w:p>
    <w:p>
      <w:pPr>
        <w:pStyle w:val="ListBullet"/>
        <w:ind w:left="360" w:hanging="360"/>
      </w:pPr>
      <w:r>
        <w:rPr>
          <w:rFonts w:ascii="Calibri" w:hAnsi="Calibri"/>
          <w:b/>
          <w:color w:val="525866"/>
          <w:sz w:val="22"/>
        </w:rPr>
        <w:t>April 2026 — Gas Power Order Momentum Exceeds Q1 in Value:</w:t>
      </w:r>
      <w:r>
        <w:rPr>
          <w:rFonts w:ascii="Calibri" w:hAnsi="Calibri"/>
          <w:color w:val="525866"/>
          <w:sz w:val="22"/>
        </w:rPr>
        <w:t xml:space="preserve"> Management disclosed on the Q1 earnings call that April quarter-to-date power equipment orders in value already exceeded all of Q1 2026. This is a significant positive signal heading into Q2, as it suggests the 10–15 GW Q2 guidance is achievable and potentially conservative. </w:t>
      </w:r>
      <w:r>
        <w:rPr>
          <w:rFonts w:ascii="Calibri" w:hAnsi="Calibri"/>
          <w:b/>
          <w:color w:val="525866"/>
          <w:sz w:val="22"/>
        </w:rPr>
        <w:t xml:space="preserve">Implication: </w:t>
      </w:r>
      <w:r>
        <w:rPr>
          <w:rFonts w:ascii="Calibri" w:hAnsi="Calibri"/>
          <w:color w:val="525866"/>
          <w:sz w:val="22"/>
        </w:rPr>
        <w:t>Upside risk to Q2 orders and potential pull-forward of the 110 GW year-end target.</w:t>
      </w:r>
    </w:p>
    <w:p>
      <w:pPr>
        <w:pStyle w:val="ListBullet"/>
        <w:ind w:left="360" w:hanging="360"/>
      </w:pPr>
      <w:r>
        <w:rPr>
          <w:rFonts w:ascii="Calibri" w:hAnsi="Calibri"/>
          <w:b/>
          <w:color w:val="525866"/>
          <w:sz w:val="22"/>
        </w:rPr>
        <w:t>April 22, 2026 — Q1 2026 Earnings Beat &amp; Broad Guidance Raise:</w:t>
      </w:r>
      <w:r>
        <w:rPr>
          <w:rFonts w:ascii="Calibri" w:hAnsi="Calibri"/>
          <w:color w:val="525866"/>
          <w:sz w:val="22"/>
        </w:rPr>
        <w:t xml:space="preserve"> GEV reported Q1 revenue of $9.34B (+0.8% vs. consensus), adj. EBITDA of $896M (+15.9% vs. consensus), and FCF of $4.79B (vs. ~$1.6B consensus). Full-year guidance raised across revenue ($44.5–45.5B), EBITDA margin (12–14%), and FCF ($6.5–7.5B). Backlog grew to $163B with $200B target pulled forward to 2027. </w:t>
      </w:r>
      <w:r>
        <w:rPr>
          <w:rFonts w:ascii="Calibri" w:hAnsi="Calibri"/>
          <w:b/>
          <w:color w:val="525866"/>
          <w:sz w:val="22"/>
        </w:rPr>
        <w:t xml:space="preserve">Implication: </w:t>
      </w:r>
      <w:r>
        <w:rPr>
          <w:rFonts w:ascii="Calibri" w:hAnsi="Calibri"/>
          <w:color w:val="525866"/>
          <w:sz w:val="22"/>
        </w:rPr>
        <w:t>Sets a high but achievable bar for Q2; stock’s muted reaction suggests elevated expectations were already priced in.</w:t>
      </w:r>
    </w:p>
    <w:p>
      <w:pPr>
        <w:pStyle w:val="ListBullet"/>
        <w:ind w:left="360" w:hanging="360"/>
      </w:pPr>
      <w:r>
        <w:rPr>
          <w:rFonts w:ascii="Calibri" w:hAnsi="Calibri"/>
          <w:b/>
          <w:color w:val="525866"/>
          <w:sz w:val="22"/>
        </w:rPr>
        <w:t>April 22, 2026 — GE Vernova Earth Day Initiative at NYSE:</w:t>
      </w:r>
      <w:r>
        <w:rPr>
          <w:rFonts w:ascii="Calibri" w:hAnsi="Calibri"/>
          <w:color w:val="525866"/>
          <w:sz w:val="22"/>
        </w:rPr>
        <w:t xml:space="preserve"> GEV unveiled a new sustainability initiative at the NYSE on Earth Day, reinforcing its energy transition positioning. </w:t>
      </w:r>
      <w:r>
        <w:rPr>
          <w:rFonts w:ascii="Calibri" w:hAnsi="Calibri"/>
          <w:b/>
          <w:color w:val="525866"/>
          <w:sz w:val="22"/>
        </w:rPr>
        <w:t xml:space="preserve">Implication: </w:t>
      </w:r>
      <w:r>
        <w:rPr>
          <w:rFonts w:ascii="Calibri" w:hAnsi="Calibri"/>
          <w:color w:val="525866"/>
          <w:sz w:val="22"/>
        </w:rPr>
        <w:t>Modest ESG/brand signal; not a financial catalyst.</w:t>
      </w:r>
    </w:p>
    <w:p>
      <w:pPr>
        <w:pStyle w:val="ListBullet"/>
        <w:ind w:left="360" w:hanging="360"/>
      </w:pPr>
      <w:r>
        <w:rPr>
          <w:rFonts w:ascii="Calibri" w:hAnsi="Calibri"/>
          <w:b/>
          <w:color w:val="525866"/>
          <w:sz w:val="22"/>
        </w:rPr>
        <w:t>May 21, 2026 — Robotech Automation Acquisition Announced:</w:t>
      </w:r>
      <w:r>
        <w:rPr>
          <w:rFonts w:ascii="Calibri" w:hAnsi="Calibri"/>
          <w:color w:val="525866"/>
          <w:sz w:val="22"/>
        </w:rPr>
        <w:t xml:space="preserve"> GEV announced the acquisition of Robotech Automation, a Montreal-based robotics and automation systems integrator (~35 employees), expected to close Q3 2026. Robotech will focus exclusively on GEV factory automation across eight lighthouse applications, with proof-of-concept through H1 2027 and broad deployment CapEx planned over the following 18 months. </w:t>
      </w:r>
      <w:r>
        <w:rPr>
          <w:rFonts w:ascii="Calibri" w:hAnsi="Calibri"/>
          <w:b/>
          <w:color w:val="525866"/>
          <w:sz w:val="22"/>
        </w:rPr>
        <w:t xml:space="preserve">Implication: </w:t>
      </w:r>
      <w:r>
        <w:rPr>
          <w:rFonts w:ascii="Calibri" w:hAnsi="Calibri"/>
          <w:color w:val="525866"/>
          <w:sz w:val="22"/>
        </w:rPr>
        <w:t>Small deal but strategically important for GEV’s lean/productivity roadmap; real financial productivity expected from 2028.</w:t>
      </w:r>
    </w:p>
    <w:p>
      <w:pPr>
        <w:pStyle w:val="ListBullet"/>
        <w:ind w:left="360" w:hanging="360"/>
      </w:pPr>
      <w:r>
        <w:rPr>
          <w:rFonts w:ascii="Calibri" w:hAnsi="Calibri"/>
          <w:b/>
          <w:color w:val="525866"/>
          <w:sz w:val="22"/>
        </w:rPr>
        <w:t>Q1 2026 — U.S.–Japan Government Announcement of Up to $40B for GE Vernova Hitachi SMRs:</w:t>
      </w:r>
      <w:r>
        <w:rPr>
          <w:rFonts w:ascii="Calibri" w:hAnsi="Calibri"/>
          <w:color w:val="525866"/>
          <w:sz w:val="22"/>
        </w:rPr>
        <w:t xml:space="preserve"> The U.S. and Japanese governments announced up to $40B for GEV Hitachi to build SMRs in the U.S. NRC license to construct for Clinch River, Tennessee expected as soon as H2 2026. Base mat installation beginning at Darlington SMR site in Canada. </w:t>
      </w:r>
      <w:r>
        <w:rPr>
          <w:rFonts w:ascii="Calibri" w:hAnsi="Calibri"/>
          <w:b/>
          <w:color w:val="525866"/>
          <w:sz w:val="22"/>
        </w:rPr>
        <w:t xml:space="preserve">Implication: </w:t>
      </w:r>
      <w:r>
        <w:rPr>
          <w:rFonts w:ascii="Calibri" w:hAnsi="Calibri"/>
          <w:color w:val="525866"/>
          <w:sz w:val="22"/>
        </w:rPr>
        <w:t>Validates GEV’s nuclear SMR strategy; not a near-term revenue driver (sub-$1B in 2026) but a significant long-term optionality catalyst.</w:t>
      </w:r>
    </w:p>
    <w:p>
      <w:pPr>
        <w:pStyle w:val="ListBullet"/>
        <w:ind w:left="360" w:hanging="360"/>
      </w:pPr>
      <w:r>
        <w:rPr>
          <w:rFonts w:ascii="Calibri" w:hAnsi="Calibri"/>
          <w:b/>
          <w:color w:val="525866"/>
          <w:sz w:val="22"/>
        </w:rPr>
        <w:t>Q1 2026 — Prolec GE Integration Underway:</w:t>
      </w:r>
      <w:r>
        <w:rPr>
          <w:rFonts w:ascii="Calibri" w:hAnsi="Calibri"/>
          <w:color w:val="525866"/>
          <w:sz w:val="22"/>
        </w:rPr>
        <w:t xml:space="preserve"> Prolec (closed February 2026) contributed ~$500M revenue at &gt;20% EBITDA margin in Q1, with backlog growing to $5B (up ~25% since Q3 2025 announcement). Lean manufacturing initiatives underway at all acquired factories. </w:t>
      </w:r>
      <w:r>
        <w:rPr>
          <w:rFonts w:ascii="Calibri" w:hAnsi="Calibri"/>
          <w:b/>
          <w:color w:val="525866"/>
          <w:sz w:val="22"/>
        </w:rPr>
        <w:t xml:space="preserve">Implication: </w:t>
      </w:r>
      <w:r>
        <w:rPr>
          <w:rFonts w:ascii="Calibri" w:hAnsi="Calibri"/>
          <w:color w:val="525866"/>
          <w:sz w:val="22"/>
        </w:rPr>
        <w:t>Prolec is tracking ahead of acquisition case; commercial synergies (integrated switchgear + transformer solutions) are emerging earlier than expected.</w:t>
      </w:r>
    </w:p>
    <w:p>
      <w:pPr>
        <w:pStyle w:val="ListBullet"/>
        <w:ind w:left="360" w:hanging="360"/>
      </w:pPr>
      <w:r>
        <w:rPr>
          <w:rFonts w:ascii="Calibri" w:hAnsi="Calibri"/>
          <w:b/>
          <w:color w:val="525866"/>
          <w:sz w:val="22"/>
        </w:rPr>
        <w:t>Q1 2026 — Offshore Wind Milestones:</w:t>
      </w:r>
      <w:r>
        <w:rPr>
          <w:rFonts w:ascii="Calibri" w:hAnsi="Calibri"/>
          <w:color w:val="525866"/>
          <w:sz w:val="22"/>
        </w:rPr>
        <w:t xml:space="preserve"> Both Vineyard Wind and Dogger Bank A installations fully completed in Q1 2026, now in commissioning phase. Dogger Bank B installation off to a strong start. </w:t>
      </w:r>
      <w:r>
        <w:rPr>
          <w:rFonts w:ascii="Calibri" w:hAnsi="Calibri"/>
          <w:b/>
          <w:color w:val="525866"/>
          <w:sz w:val="22"/>
        </w:rPr>
        <w:t xml:space="preserve">Implication: </w:t>
      </w:r>
      <w:r>
        <w:rPr>
          <w:rFonts w:ascii="Calibri" w:hAnsi="Calibri"/>
          <w:color w:val="525866"/>
          <w:sz w:val="22"/>
        </w:rPr>
        <w:t>Reduces execution risk on the offshore loss-making backlog; Dogger Bank B and C expected to take through most of 2027 to complete.</w:t>
      </w:r>
    </w:p>
    <w:p>
      <w:pPr>
        <w:pStyle w:val="ListBullet"/>
        <w:ind w:left="360" w:hanging="360"/>
      </w:pPr>
      <w:r>
        <w:rPr>
          <w:rFonts w:ascii="Calibri" w:hAnsi="Calibri"/>
          <w:b/>
          <w:color w:val="525866"/>
          <w:sz w:val="22"/>
        </w:rPr>
        <w:t>Q1 2026 — Vietnam LNG-to-Power Market Emerging:</w:t>
      </w:r>
      <w:r>
        <w:rPr>
          <w:rFonts w:ascii="Calibri" w:hAnsi="Calibri"/>
          <w:color w:val="525866"/>
          <w:sz w:val="22"/>
        </w:rPr>
        <w:t xml:space="preserve"> First project (Nhon Trach 3&amp;4, 1.6 GW) commissioned January 2026; contracts signed for four additional LNG-to-power projects (~1.6 GW each) in the first five months of 2026. New HVDC transformer manufacturing facility announced in Hai Phong, Vietnam (full operations expected 2028). </w:t>
      </w:r>
      <w:r>
        <w:rPr>
          <w:rFonts w:ascii="Calibri" w:hAnsi="Calibri"/>
          <w:b/>
          <w:color w:val="525866"/>
          <w:sz w:val="22"/>
        </w:rPr>
        <w:t xml:space="preserve">Implication: </w:t>
      </w:r>
      <w:r>
        <w:rPr>
          <w:rFonts w:ascii="Calibri" w:hAnsi="Calibri"/>
          <w:color w:val="525866"/>
          <w:sz w:val="22"/>
        </w:rPr>
        <w:t>Vietnam is becoming a meaningful new geography for GEV’s gas power and electrification businesses; incremental to prior guidance.</w:t>
      </w:r>
    </w:p>
    <w:p>
      <w:pPr>
        <w:pStyle w:val="ListBullet"/>
        <w:ind w:left="360" w:hanging="360"/>
      </w:pPr>
      <w:r>
        <w:rPr>
          <w:rFonts w:ascii="Calibri" w:hAnsi="Calibri"/>
          <w:b/>
          <w:color w:val="525866"/>
          <w:sz w:val="22"/>
        </w:rPr>
        <w:t>Q1 2026 — AI Foundry Expansion:</w:t>
      </w:r>
      <w:r>
        <w:rPr>
          <w:rFonts w:ascii="Calibri" w:hAnsi="Calibri"/>
          <w:color w:val="525866"/>
          <w:sz w:val="22"/>
        </w:rPr>
        <w:t xml:space="preserve"> AI foundry growing from 50+ to 80 people by summer/fall 2026, with 26 active AI process transformations (up from 13 at start of year). 79 MIT graduates joining payroll June–July 2026. </w:t>
      </w:r>
      <w:r>
        <w:rPr>
          <w:rFonts w:ascii="Calibri" w:hAnsi="Calibri"/>
          <w:b/>
          <w:color w:val="525866"/>
          <w:sz w:val="22"/>
        </w:rPr>
        <w:t xml:space="preserve">Implication: </w:t>
      </w:r>
      <w:r>
        <w:rPr>
          <w:rFonts w:ascii="Calibri" w:hAnsi="Calibri"/>
          <w:color w:val="525866"/>
          <w:sz w:val="22"/>
        </w:rPr>
        <w:t>AI expected to be break-even to modestly negative in 2026, turning positive in 2027; real productivity gains from 2028 automation deployment.</w:t>
      </w:r>
    </w:p>
    <w:p>
      <w:pPr>
        <w:pStyle w:val="ListBullet"/>
        <w:ind w:left="360" w:hanging="360"/>
      </w:pPr>
      <w:r>
        <w:rPr>
          <w:rFonts w:ascii="Calibri" w:hAnsi="Calibri"/>
          <w:b/>
          <w:color w:val="525866"/>
          <w:sz w:val="22"/>
        </w:rPr>
        <w:t>No Analyst Rating Changes Since Q1 Print:</w:t>
      </w:r>
      <w:r>
        <w:rPr>
          <w:rFonts w:ascii="Calibri" w:hAnsi="Calibri"/>
          <w:color w:val="525866"/>
          <w:sz w:val="22"/>
        </w:rPr>
        <w:t xml:space="preserve"> No upgrade or downgrade data was found in the period April 22 – July 21, 2026, suggesting the sell-side is broadly comfortable with current ratings and price targets following the Q1 beat and guidance raise.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